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DD" w:rsidRDefault="00834C0C" w:rsidP="00BC3BDF">
      <w:pPr>
        <w:pStyle w:val="Title"/>
        <w:jc w:val="center"/>
      </w:pPr>
      <w:r>
        <w:t>Self-Insurance</w:t>
      </w:r>
      <w:r w:rsidR="00BC3BDF">
        <w:t xml:space="preserve"> Committee</w:t>
      </w:r>
    </w:p>
    <w:p w:rsidR="00BC3BDF" w:rsidRPr="00BC3BDF" w:rsidRDefault="00BC3BDF" w:rsidP="00BC3BDF">
      <w:pPr>
        <w:pStyle w:val="Title"/>
        <w:jc w:val="center"/>
        <w:rPr>
          <w:sz w:val="32"/>
          <w:szCs w:val="32"/>
        </w:rPr>
      </w:pPr>
      <w:r w:rsidRPr="00BC3BDF">
        <w:rPr>
          <w:sz w:val="32"/>
          <w:szCs w:val="32"/>
        </w:rPr>
        <w:t>Meeting Minutes</w:t>
      </w:r>
    </w:p>
    <w:p w:rsidR="00BC3BDF" w:rsidRDefault="003E04E6" w:rsidP="00BC3BDF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February 23, 2015</w:t>
      </w:r>
    </w:p>
    <w:p w:rsidR="00BC3BDF" w:rsidRDefault="00BC3BDF" w:rsidP="00BC3BDF">
      <w:pPr>
        <w:tabs>
          <w:tab w:val="left" w:pos="1440"/>
        </w:tabs>
      </w:pPr>
      <w:r>
        <w:t xml:space="preserve">Attendance: </w:t>
      </w:r>
      <w:r>
        <w:tab/>
        <w:t>John Payne, Treasurer’s Office</w:t>
      </w:r>
    </w:p>
    <w:p w:rsidR="00BC3BDF" w:rsidRDefault="00BC3BDF" w:rsidP="00BC3BDF">
      <w:pPr>
        <w:ind w:left="720" w:firstLine="720"/>
      </w:pPr>
      <w:r>
        <w:t>Francine Reis, Human Resources</w:t>
      </w:r>
    </w:p>
    <w:p w:rsidR="00BC3BDF" w:rsidRDefault="003E04E6" w:rsidP="00BC3BDF">
      <w:pPr>
        <w:ind w:left="720" w:firstLine="720"/>
      </w:pPr>
      <w:r>
        <w:t>Adriana Prata</w:t>
      </w:r>
      <w:r w:rsidR="00BC3BDF">
        <w:t xml:space="preserve">, </w:t>
      </w:r>
      <w:r w:rsidR="00834C0C">
        <w:t>Budget Office</w:t>
      </w:r>
    </w:p>
    <w:p w:rsidR="00BC3BDF" w:rsidRDefault="00BC3BDF" w:rsidP="00BC3BDF">
      <w:pPr>
        <w:ind w:left="720" w:firstLine="720"/>
      </w:pPr>
      <w:r>
        <w:t>Kathy Meyers, Human Resources</w:t>
      </w:r>
    </w:p>
    <w:p w:rsidR="00BC3BDF" w:rsidRDefault="00834C0C" w:rsidP="00BC3BDF">
      <w:pPr>
        <w:ind w:left="720" w:firstLine="720"/>
      </w:pPr>
      <w:r>
        <w:t>Mark Gassaway, Auditor’s Office</w:t>
      </w:r>
    </w:p>
    <w:p w:rsidR="00D15FB5" w:rsidRDefault="00D15FB5" w:rsidP="00BC3BDF">
      <w:pPr>
        <w:ind w:left="720" w:firstLine="720"/>
      </w:pPr>
      <w:r>
        <w:t>Chris Horne, PA’s Office</w:t>
      </w:r>
      <w:r w:rsidR="00455F36">
        <w:t xml:space="preserve"> </w:t>
      </w:r>
    </w:p>
    <w:p w:rsidR="003E04E6" w:rsidRDefault="003320BA" w:rsidP="003320BA">
      <w:r>
        <w:t xml:space="preserve">Guests:  </w:t>
      </w:r>
      <w:r>
        <w:tab/>
      </w:r>
      <w:r w:rsidR="003E04E6">
        <w:t xml:space="preserve">Pat </w:t>
      </w:r>
      <w:proofErr w:type="spellStart"/>
      <w:r w:rsidR="003E04E6">
        <w:t>Bourcier</w:t>
      </w:r>
      <w:proofErr w:type="spellEnd"/>
      <w:r w:rsidR="003E04E6">
        <w:t>, Treasurer’s Office</w:t>
      </w:r>
    </w:p>
    <w:p w:rsidR="003E04E6" w:rsidRDefault="003E04E6" w:rsidP="003E04E6">
      <w:pPr>
        <w:ind w:left="720" w:firstLine="720"/>
      </w:pPr>
      <w:r>
        <w:t xml:space="preserve">Kristen </w:t>
      </w:r>
      <w:r w:rsidRPr="00834C0C">
        <w:t>Kirschten</w:t>
      </w:r>
      <w:r>
        <w:t>, Mercer</w:t>
      </w:r>
    </w:p>
    <w:p w:rsidR="003E04E6" w:rsidRDefault="003E04E6" w:rsidP="003E04E6">
      <w:pPr>
        <w:ind w:left="720" w:firstLine="720"/>
      </w:pPr>
      <w:r>
        <w:t>Mike Berry, Mercer</w:t>
      </w:r>
    </w:p>
    <w:p w:rsidR="003E04E6" w:rsidRDefault="003E04E6" w:rsidP="003E04E6">
      <w:pPr>
        <w:ind w:left="720" w:firstLine="720"/>
      </w:pPr>
      <w:r>
        <w:t xml:space="preserve">Carrie </w:t>
      </w:r>
      <w:proofErr w:type="spellStart"/>
      <w:r>
        <w:t>Bourquein</w:t>
      </w:r>
      <w:proofErr w:type="spellEnd"/>
      <w:r>
        <w:t>, Mercer</w:t>
      </w:r>
    </w:p>
    <w:p w:rsidR="003E04E6" w:rsidRDefault="003E04E6" w:rsidP="00BC3BDF">
      <w:pPr>
        <w:ind w:left="720" w:firstLine="720"/>
      </w:pPr>
    </w:p>
    <w:p w:rsidR="006F0638" w:rsidRDefault="007C08EB" w:rsidP="006F0638">
      <w:r w:rsidRPr="00833ABE">
        <w:rPr>
          <w:b/>
        </w:rPr>
        <w:t>Review Medical and Dental Experience</w:t>
      </w:r>
      <w:r w:rsidR="006F0638">
        <w:rPr>
          <w:b/>
        </w:rPr>
        <w:t>-</w:t>
      </w:r>
      <w:r w:rsidR="004E561D" w:rsidRPr="005C1F43">
        <w:rPr>
          <w:b/>
        </w:rPr>
        <w:t>Kristin</w:t>
      </w:r>
      <w:r w:rsidR="00833ABE">
        <w:t>-</w:t>
      </w:r>
      <w:r>
        <w:t xml:space="preserve">actuarial update, i.e. how is the plan running from a claims standpoint.  </w:t>
      </w:r>
    </w:p>
    <w:p w:rsidR="00833ABE" w:rsidRDefault="00833ABE" w:rsidP="006F0638">
      <w:pPr>
        <w:pStyle w:val="ListParagraph"/>
        <w:numPr>
          <w:ilvl w:val="0"/>
          <w:numId w:val="25"/>
        </w:numPr>
      </w:pPr>
      <w:r>
        <w:t xml:space="preserve">Mercer calculated 2015 renewals based on claims experience for 12-months ending June 30, 2014.  </w:t>
      </w:r>
    </w:p>
    <w:p w:rsidR="00833ABE" w:rsidRDefault="00833ABE" w:rsidP="001D472C">
      <w:pPr>
        <w:pStyle w:val="ListParagraph"/>
        <w:numPr>
          <w:ilvl w:val="0"/>
          <w:numId w:val="36"/>
        </w:numPr>
      </w:pPr>
      <w:r>
        <w:t>6.5% medical increase</w:t>
      </w:r>
      <w:r w:rsidR="00EF613F">
        <w:t>.</w:t>
      </w:r>
    </w:p>
    <w:p w:rsidR="00833ABE" w:rsidRDefault="00833ABE" w:rsidP="001D472C">
      <w:pPr>
        <w:pStyle w:val="ListParagraph"/>
        <w:numPr>
          <w:ilvl w:val="0"/>
          <w:numId w:val="36"/>
        </w:numPr>
      </w:pPr>
      <w:r>
        <w:t>0% dental increase, dental required a (2.3%) decrease, decision to hold rates.</w:t>
      </w:r>
    </w:p>
    <w:p w:rsidR="00833ABE" w:rsidRDefault="00833ABE" w:rsidP="00833ABE">
      <w:pPr>
        <w:pStyle w:val="ListParagraph"/>
        <w:numPr>
          <w:ilvl w:val="0"/>
          <w:numId w:val="8"/>
        </w:numPr>
      </w:pPr>
      <w:r>
        <w:t>Utilization increased substantially</w:t>
      </w:r>
      <w:r w:rsidR="00EF613F">
        <w:t>.</w:t>
      </w:r>
    </w:p>
    <w:p w:rsidR="00833ABE" w:rsidRDefault="00833ABE" w:rsidP="00833ABE">
      <w:pPr>
        <w:pStyle w:val="ListParagraph"/>
        <w:numPr>
          <w:ilvl w:val="0"/>
          <w:numId w:val="10"/>
        </w:numPr>
      </w:pPr>
      <w:r>
        <w:t>Number of large claims skyrocketed, far more than could be reasonably expected (42 claims)</w:t>
      </w:r>
      <w:r w:rsidR="00EF613F">
        <w:t>.</w:t>
      </w:r>
    </w:p>
    <w:p w:rsidR="00833ABE" w:rsidRDefault="00833ABE" w:rsidP="00833ABE">
      <w:pPr>
        <w:pStyle w:val="ListParagraph"/>
        <w:numPr>
          <w:ilvl w:val="0"/>
          <w:numId w:val="10"/>
        </w:numPr>
      </w:pPr>
      <w:r>
        <w:t>Aggregate claims accounting as of December 31,</w:t>
      </w:r>
      <w:r w:rsidR="00EF613F">
        <w:t xml:space="preserve"> </w:t>
      </w:r>
      <w:r>
        <w:t xml:space="preserve">2014 </w:t>
      </w:r>
      <w:r w:rsidR="00EF613F">
        <w:t>were 110% of expected.</w:t>
      </w:r>
    </w:p>
    <w:p w:rsidR="00EF613F" w:rsidRDefault="00EF613F" w:rsidP="00833ABE">
      <w:pPr>
        <w:pStyle w:val="ListParagraph"/>
        <w:numPr>
          <w:ilvl w:val="0"/>
          <w:numId w:val="10"/>
        </w:numPr>
      </w:pPr>
      <w:r>
        <w:t xml:space="preserve">County’s claims trend is 15% comparing recent 12-months to prior 12-months after claims over stop loss </w:t>
      </w:r>
      <w:r w:rsidR="003320BA">
        <w:t xml:space="preserve">is </w:t>
      </w:r>
      <w:r>
        <w:t>removed.</w:t>
      </w:r>
    </w:p>
    <w:p w:rsidR="00EF613F" w:rsidRDefault="00EF613F" w:rsidP="00833ABE">
      <w:pPr>
        <w:pStyle w:val="ListParagraph"/>
        <w:numPr>
          <w:ilvl w:val="0"/>
          <w:numId w:val="10"/>
        </w:numPr>
      </w:pPr>
      <w:r>
        <w:t>Industry trend is 8-10%.</w:t>
      </w:r>
    </w:p>
    <w:p w:rsidR="00EF613F" w:rsidRDefault="00EF613F" w:rsidP="00EF613F">
      <w:pPr>
        <w:pStyle w:val="ListParagraph"/>
        <w:numPr>
          <w:ilvl w:val="0"/>
          <w:numId w:val="8"/>
        </w:numPr>
      </w:pPr>
      <w:r>
        <w:t>Self-Insurance Medical Experience year-to-date December 2014 Report (</w:t>
      </w:r>
      <w:r w:rsidR="00136873">
        <w:t>i</w:t>
      </w:r>
      <w:r>
        <w:t>mmature claims data first year, reserves excluded from report)</w:t>
      </w:r>
      <w:r w:rsidR="000C5929">
        <w:t>.</w:t>
      </w:r>
    </w:p>
    <w:p w:rsidR="00EF613F" w:rsidRDefault="00EF613F" w:rsidP="009A3A52">
      <w:pPr>
        <w:pStyle w:val="ListParagraph"/>
        <w:numPr>
          <w:ilvl w:val="0"/>
          <w:numId w:val="35"/>
        </w:numPr>
      </w:pPr>
      <w:r>
        <w:t>Plan Performance-Gross Plan Costs vs Gross Budget is 92.4% (loss ratio)</w:t>
      </w:r>
    </w:p>
    <w:p w:rsidR="008B3EC0" w:rsidRDefault="008B3EC0" w:rsidP="009A3A52">
      <w:pPr>
        <w:pStyle w:val="ListParagraph"/>
        <w:numPr>
          <w:ilvl w:val="0"/>
          <w:numId w:val="35"/>
        </w:numPr>
      </w:pPr>
      <w:r>
        <w:t>Loss ratio should be mid</w:t>
      </w:r>
      <w:r w:rsidR="005F7BF3">
        <w:t>dle</w:t>
      </w:r>
      <w:r>
        <w:t xml:space="preserve"> to low 80’s % (up to 85%) first year, depends on reserves.</w:t>
      </w:r>
    </w:p>
    <w:p w:rsidR="00B54859" w:rsidRDefault="00B54859" w:rsidP="009A3A52">
      <w:pPr>
        <w:pStyle w:val="ListParagraph"/>
        <w:numPr>
          <w:ilvl w:val="0"/>
          <w:numId w:val="35"/>
        </w:numPr>
      </w:pPr>
      <w:r>
        <w:t xml:space="preserve">Difference between Gross Budget and Gross Plan Cost </w:t>
      </w:r>
      <w:r w:rsidR="00FA17EB">
        <w:t xml:space="preserve">is </w:t>
      </w:r>
      <w:r>
        <w:t>$764,295</w:t>
      </w:r>
      <w:r w:rsidR="00175277">
        <w:t>, which should be applied to reserves.</w:t>
      </w:r>
    </w:p>
    <w:p w:rsidR="005F7BF3" w:rsidRDefault="005F7BF3" w:rsidP="009A3A52">
      <w:pPr>
        <w:pStyle w:val="ListParagraph"/>
        <w:numPr>
          <w:ilvl w:val="0"/>
          <w:numId w:val="35"/>
        </w:numPr>
      </w:pPr>
      <w:r>
        <w:t>Mercer estimates medical reserves as of December 31, 2014 should be $1,114,000.</w:t>
      </w:r>
    </w:p>
    <w:p w:rsidR="005F7BF3" w:rsidRDefault="005F7BF3" w:rsidP="009A3A52">
      <w:pPr>
        <w:pStyle w:val="ListParagraph"/>
        <w:numPr>
          <w:ilvl w:val="0"/>
          <w:numId w:val="35"/>
        </w:numPr>
      </w:pPr>
      <w:r>
        <w:t>Mercer also estimates an additional reserve (contingency) of $1,114,000 for unusual claims fluctuation.</w:t>
      </w:r>
    </w:p>
    <w:p w:rsidR="008617F2" w:rsidRDefault="008617F2" w:rsidP="008617F2">
      <w:pPr>
        <w:pStyle w:val="ListParagraph"/>
        <w:ind w:left="2160"/>
      </w:pPr>
    </w:p>
    <w:p w:rsidR="00D94626" w:rsidRDefault="00D94626" w:rsidP="00D94626">
      <w:pPr>
        <w:pStyle w:val="ListParagraph"/>
        <w:numPr>
          <w:ilvl w:val="0"/>
          <w:numId w:val="12"/>
        </w:numPr>
      </w:pPr>
      <w:r>
        <w:lastRenderedPageBreak/>
        <w:t>Regence Aggregate Settlement Report</w:t>
      </w:r>
      <w:r w:rsidR="000C5929">
        <w:t>.</w:t>
      </w:r>
    </w:p>
    <w:p w:rsidR="00B514AD" w:rsidRDefault="00B514AD" w:rsidP="00D94626">
      <w:pPr>
        <w:pStyle w:val="ListParagraph"/>
        <w:numPr>
          <w:ilvl w:val="0"/>
          <w:numId w:val="14"/>
        </w:numPr>
      </w:pPr>
      <w:r>
        <w:t>Self-insured medical claims in excess of $729,679 of expected (110%)</w:t>
      </w:r>
      <w:r w:rsidR="000F7217">
        <w:t xml:space="preserve"> </w:t>
      </w:r>
      <w:r>
        <w:t>set by Regence’s stop loss contract, not a normal utilization pattern.</w:t>
      </w:r>
    </w:p>
    <w:p w:rsidR="00B514AD" w:rsidRDefault="00D94626" w:rsidP="00D94626">
      <w:pPr>
        <w:pStyle w:val="ListParagraph"/>
        <w:numPr>
          <w:ilvl w:val="0"/>
          <w:numId w:val="14"/>
        </w:numPr>
      </w:pPr>
      <w:r>
        <w:t>Aggregate insurance kicks</w:t>
      </w:r>
      <w:r w:rsidR="000F7217">
        <w:t xml:space="preserve"> in at 125% of expected claims.</w:t>
      </w:r>
    </w:p>
    <w:p w:rsidR="000F7217" w:rsidRDefault="000F7217" w:rsidP="00EC6CB3">
      <w:pPr>
        <w:pStyle w:val="ListParagraph"/>
        <w:numPr>
          <w:ilvl w:val="0"/>
          <w:numId w:val="12"/>
        </w:numPr>
      </w:pPr>
      <w:r>
        <w:t>Medical Claims Exper</w:t>
      </w:r>
      <w:r w:rsidR="00EC6CB3">
        <w:t>ience Fully-Insured and Self-Insured Combined Claims over $175,000 stop loss removed</w:t>
      </w:r>
      <w:r w:rsidR="00864AD7">
        <w:t xml:space="preserve"> from</w:t>
      </w:r>
      <w:r w:rsidR="00EC6CB3">
        <w:t xml:space="preserve"> report.</w:t>
      </w:r>
    </w:p>
    <w:p w:rsidR="00EC6CB3" w:rsidRDefault="00290BAA" w:rsidP="00290BAA">
      <w:pPr>
        <w:pStyle w:val="ListParagraph"/>
        <w:numPr>
          <w:ilvl w:val="0"/>
          <w:numId w:val="15"/>
        </w:numPr>
      </w:pPr>
      <w:r>
        <w:t>Experience used 2015 renewal projection (July 2013-June 2014) PMPM=$428.97, trending at 15% over prior 12 months.</w:t>
      </w:r>
    </w:p>
    <w:p w:rsidR="00290BAA" w:rsidRDefault="00290BAA" w:rsidP="00290BAA">
      <w:pPr>
        <w:pStyle w:val="ListParagraph"/>
        <w:numPr>
          <w:ilvl w:val="0"/>
          <w:numId w:val="15"/>
        </w:numPr>
      </w:pPr>
      <w:r>
        <w:t>New Experience (July 2014-December 2014) PMPM=$494.53, additional 15.3% increase in 6 months over projected experience period.</w:t>
      </w:r>
    </w:p>
    <w:p w:rsidR="000C5929" w:rsidRDefault="000C5929" w:rsidP="000C5929">
      <w:pPr>
        <w:pStyle w:val="ListParagraph"/>
        <w:numPr>
          <w:ilvl w:val="0"/>
          <w:numId w:val="12"/>
        </w:numPr>
      </w:pPr>
      <w:r>
        <w:t>Four Year Experience History.</w:t>
      </w:r>
    </w:p>
    <w:p w:rsidR="000C5929" w:rsidRDefault="000C5929" w:rsidP="000C5929">
      <w:pPr>
        <w:pStyle w:val="ListParagraph"/>
        <w:numPr>
          <w:ilvl w:val="0"/>
          <w:numId w:val="16"/>
        </w:numPr>
      </w:pPr>
      <w:r>
        <w:t>Member population shrinking</w:t>
      </w:r>
      <w:r w:rsidR="00674263">
        <w:t>, some employees have moved to Kaiser</w:t>
      </w:r>
      <w:r>
        <w:t>.</w:t>
      </w:r>
    </w:p>
    <w:p w:rsidR="000C5929" w:rsidRDefault="000C5929" w:rsidP="000C5929">
      <w:pPr>
        <w:pStyle w:val="ListParagraph"/>
        <w:numPr>
          <w:ilvl w:val="0"/>
          <w:numId w:val="16"/>
        </w:numPr>
      </w:pPr>
      <w:r>
        <w:t>Clark County’s trend is 16.2% and industry trend is 9% in the market.</w:t>
      </w:r>
    </w:p>
    <w:p w:rsidR="000C5929" w:rsidRDefault="000C5929" w:rsidP="000C5929">
      <w:pPr>
        <w:pStyle w:val="ListParagraph"/>
        <w:numPr>
          <w:ilvl w:val="0"/>
          <w:numId w:val="16"/>
        </w:numPr>
      </w:pPr>
      <w:r>
        <w:t>County always did well against the trend.</w:t>
      </w:r>
    </w:p>
    <w:p w:rsidR="000C5929" w:rsidRDefault="000C5929" w:rsidP="000C5929">
      <w:pPr>
        <w:pStyle w:val="ListParagraph"/>
        <w:numPr>
          <w:ilvl w:val="0"/>
          <w:numId w:val="16"/>
        </w:numPr>
      </w:pPr>
      <w:r>
        <w:t>History of 3 good years prior to going Self-Insured.</w:t>
      </w:r>
    </w:p>
    <w:p w:rsidR="000C5929" w:rsidRDefault="000C5929" w:rsidP="000C5929">
      <w:pPr>
        <w:pStyle w:val="ListParagraph"/>
        <w:numPr>
          <w:ilvl w:val="0"/>
          <w:numId w:val="16"/>
        </w:numPr>
      </w:pPr>
      <w:r>
        <w:t>Kristin wanted a good first year to build reserves.</w:t>
      </w:r>
    </w:p>
    <w:p w:rsidR="000C5929" w:rsidRDefault="00674263" w:rsidP="00674263">
      <w:pPr>
        <w:pStyle w:val="ListParagraph"/>
        <w:numPr>
          <w:ilvl w:val="0"/>
          <w:numId w:val="12"/>
        </w:numPr>
      </w:pPr>
      <w:r>
        <w:t>Medical Claims Utilization 2014</w:t>
      </w:r>
    </w:p>
    <w:p w:rsidR="00674263" w:rsidRDefault="00674263" w:rsidP="00674263">
      <w:pPr>
        <w:pStyle w:val="ListParagraph"/>
        <w:numPr>
          <w:ilvl w:val="0"/>
          <w:numId w:val="18"/>
        </w:numPr>
      </w:pPr>
      <w:r>
        <w:t>Top 7 Diagnostic Categories-Major Disease States</w:t>
      </w:r>
    </w:p>
    <w:p w:rsidR="00674263" w:rsidRDefault="00674263" w:rsidP="00990A80">
      <w:pPr>
        <w:pStyle w:val="ListParagraph"/>
        <w:numPr>
          <w:ilvl w:val="0"/>
          <w:numId w:val="37"/>
        </w:numPr>
      </w:pPr>
      <w:r>
        <w:t>Symptoms 9 for $797,379 (determine diagnosis)</w:t>
      </w:r>
    </w:p>
    <w:p w:rsidR="00674263" w:rsidRDefault="00674263" w:rsidP="00990A80">
      <w:pPr>
        <w:pStyle w:val="ListParagraph"/>
        <w:numPr>
          <w:ilvl w:val="0"/>
          <w:numId w:val="37"/>
        </w:numPr>
      </w:pPr>
      <w:r>
        <w:t>Cancer 7 for $685,616</w:t>
      </w:r>
    </w:p>
    <w:p w:rsidR="00674263" w:rsidRDefault="00674263" w:rsidP="00990A80">
      <w:pPr>
        <w:pStyle w:val="ListParagraph"/>
        <w:numPr>
          <w:ilvl w:val="0"/>
          <w:numId w:val="37"/>
        </w:numPr>
      </w:pPr>
      <w:r>
        <w:t>Musculoskeletal 7 for $460,695</w:t>
      </w:r>
    </w:p>
    <w:p w:rsidR="00674263" w:rsidRDefault="00674263" w:rsidP="00990A80">
      <w:pPr>
        <w:pStyle w:val="ListParagraph"/>
        <w:numPr>
          <w:ilvl w:val="0"/>
          <w:numId w:val="37"/>
        </w:numPr>
      </w:pPr>
      <w:r>
        <w:t>Digestive 2 for $514,921</w:t>
      </w:r>
    </w:p>
    <w:p w:rsidR="00674263" w:rsidRDefault="00674263" w:rsidP="00990A80">
      <w:pPr>
        <w:pStyle w:val="ListParagraph"/>
        <w:numPr>
          <w:ilvl w:val="0"/>
          <w:numId w:val="37"/>
        </w:numPr>
      </w:pPr>
      <w:r>
        <w:t>Circulatory 2 for $330,191</w:t>
      </w:r>
    </w:p>
    <w:p w:rsidR="00674263" w:rsidRDefault="00674263" w:rsidP="00990A80">
      <w:pPr>
        <w:pStyle w:val="ListParagraph"/>
        <w:numPr>
          <w:ilvl w:val="0"/>
          <w:numId w:val="37"/>
        </w:numPr>
      </w:pPr>
      <w:r>
        <w:t>Complications 2 for $306,467</w:t>
      </w:r>
    </w:p>
    <w:p w:rsidR="00674263" w:rsidRPr="00990A80" w:rsidRDefault="00674263" w:rsidP="00990A80">
      <w:pPr>
        <w:pStyle w:val="ListParagraph"/>
        <w:numPr>
          <w:ilvl w:val="0"/>
          <w:numId w:val="37"/>
        </w:numPr>
        <w:rPr>
          <w:u w:val="single"/>
        </w:rPr>
      </w:pPr>
      <w:r w:rsidRPr="00990A80">
        <w:rPr>
          <w:u w:val="single"/>
        </w:rPr>
        <w:t>Infectious 2 for $294,192</w:t>
      </w:r>
    </w:p>
    <w:p w:rsidR="000C5929" w:rsidRDefault="00674263" w:rsidP="00674263">
      <w:pPr>
        <w:ind w:left="1800"/>
      </w:pPr>
      <w:r>
        <w:t>31 for $3,389, 461</w:t>
      </w:r>
    </w:p>
    <w:p w:rsidR="005D1A93" w:rsidRDefault="005D1A93" w:rsidP="005D1A93">
      <w:pPr>
        <w:pStyle w:val="ListParagraph"/>
        <w:numPr>
          <w:ilvl w:val="0"/>
          <w:numId w:val="12"/>
        </w:numPr>
      </w:pPr>
      <w:r>
        <w:t>Prescription utilization is disconcerting.</w:t>
      </w:r>
    </w:p>
    <w:p w:rsidR="005D1A93" w:rsidRDefault="005D1A93" w:rsidP="005D1A93">
      <w:pPr>
        <w:pStyle w:val="ListParagraph"/>
        <w:numPr>
          <w:ilvl w:val="0"/>
          <w:numId w:val="20"/>
        </w:numPr>
      </w:pPr>
      <w:r>
        <w:t>Qu</w:t>
      </w:r>
      <w:r w:rsidR="00017E63">
        <w:t xml:space="preserve">ick increase in generic RX cost, </w:t>
      </w:r>
      <w:r>
        <w:t>50.0% from 2013-2014.</w:t>
      </w:r>
    </w:p>
    <w:p w:rsidR="005D1A93" w:rsidRDefault="005D1A93" w:rsidP="005D1A93">
      <w:pPr>
        <w:pStyle w:val="ListParagraph"/>
        <w:numPr>
          <w:ilvl w:val="0"/>
          <w:numId w:val="20"/>
        </w:numPr>
      </w:pPr>
      <w:r>
        <w:t>Specialty RX increase 33.5% f</w:t>
      </w:r>
      <w:r w:rsidR="006627DC">
        <w:t>rom</w:t>
      </w:r>
      <w:r>
        <w:t xml:space="preserve"> 2013-2014 related to disease states the plan doesn’t have a lot of control over.</w:t>
      </w:r>
    </w:p>
    <w:p w:rsidR="006B05F8" w:rsidRDefault="006B05F8" w:rsidP="007A528E">
      <w:pPr>
        <w:pStyle w:val="ListParagraph"/>
        <w:numPr>
          <w:ilvl w:val="0"/>
          <w:numId w:val="38"/>
        </w:numPr>
      </w:pPr>
      <w:r>
        <w:t>Regence reviews for specialty RX necessity</w:t>
      </w:r>
      <w:r w:rsidR="00E45166">
        <w:t>.</w:t>
      </w:r>
    </w:p>
    <w:p w:rsidR="00E45166" w:rsidRDefault="00E45166" w:rsidP="00E45166">
      <w:pPr>
        <w:pStyle w:val="ListParagraph"/>
        <w:numPr>
          <w:ilvl w:val="0"/>
          <w:numId w:val="20"/>
        </w:numPr>
      </w:pPr>
      <w:r>
        <w:t>Utilization of very expensive prescription, many are hitting a $1,000 plus a month.</w:t>
      </w:r>
    </w:p>
    <w:p w:rsidR="00CB17FD" w:rsidRDefault="00CB17FD" w:rsidP="00E45166">
      <w:pPr>
        <w:pStyle w:val="ListParagraph"/>
        <w:numPr>
          <w:ilvl w:val="0"/>
          <w:numId w:val="20"/>
        </w:numPr>
      </w:pPr>
      <w:r>
        <w:t xml:space="preserve">Top 25 Medications in 2014, top 5 </w:t>
      </w:r>
      <w:r w:rsidR="004673DF">
        <w:t xml:space="preserve">conditions </w:t>
      </w:r>
      <w:r>
        <w:t>include: iron toxicity, Leukemia, growth hormone, Fibromyalgia.</w:t>
      </w:r>
    </w:p>
    <w:p w:rsidR="00CB17FD" w:rsidRDefault="00B92B4F" w:rsidP="00E45166">
      <w:pPr>
        <w:pStyle w:val="ListParagraph"/>
        <w:numPr>
          <w:ilvl w:val="0"/>
          <w:numId w:val="20"/>
        </w:numPr>
      </w:pPr>
      <w:r>
        <w:t>In 2015</w:t>
      </w:r>
      <w:r w:rsidR="00E873ED">
        <w:t xml:space="preserve"> </w:t>
      </w:r>
      <w:r w:rsidR="00CB17FD">
        <w:t xml:space="preserve">likely </w:t>
      </w:r>
      <w:r w:rsidR="00E873ED">
        <w:t>to have</w:t>
      </w:r>
      <w:r>
        <w:t xml:space="preserve"> the </w:t>
      </w:r>
      <w:r w:rsidR="00CB17FD">
        <w:t>new Hepatitis C Rx</w:t>
      </w:r>
      <w:r>
        <w:t xml:space="preserve"> on the list</w:t>
      </w:r>
      <w:r w:rsidR="00CB17FD">
        <w:t>.  The cost for 3 months is $85,000.  It has a 95% cure rate.</w:t>
      </w:r>
      <w:r w:rsidR="00646963">
        <w:t xml:space="preserve">  There is no generic substitute.</w:t>
      </w:r>
    </w:p>
    <w:p w:rsidR="00646963" w:rsidRDefault="00646963" w:rsidP="00646963">
      <w:pPr>
        <w:pStyle w:val="ListParagraph"/>
        <w:ind w:left="1440"/>
      </w:pPr>
      <w:r>
        <w:br w:type="page"/>
      </w:r>
    </w:p>
    <w:p w:rsidR="00646963" w:rsidRDefault="00646963" w:rsidP="00646963">
      <w:pPr>
        <w:pStyle w:val="ListParagraph"/>
        <w:ind w:left="1440"/>
      </w:pPr>
    </w:p>
    <w:p w:rsidR="00646963" w:rsidRDefault="00646963" w:rsidP="00646963">
      <w:pPr>
        <w:pStyle w:val="ListParagraph"/>
        <w:numPr>
          <w:ilvl w:val="0"/>
          <w:numId w:val="12"/>
        </w:numPr>
      </w:pPr>
      <w:r>
        <w:t xml:space="preserve">Dental </w:t>
      </w:r>
      <w:r w:rsidR="00B65E8D">
        <w:t>Experience</w:t>
      </w:r>
    </w:p>
    <w:p w:rsidR="00646963" w:rsidRDefault="00646963" w:rsidP="00646963">
      <w:pPr>
        <w:pStyle w:val="ListParagraph"/>
        <w:numPr>
          <w:ilvl w:val="0"/>
          <w:numId w:val="23"/>
        </w:numPr>
      </w:pPr>
      <w:r>
        <w:t>Original renewal (2.3%) decrease.</w:t>
      </w:r>
    </w:p>
    <w:p w:rsidR="00646963" w:rsidRDefault="00646963" w:rsidP="00646963">
      <w:pPr>
        <w:pStyle w:val="ListParagraph"/>
        <w:numPr>
          <w:ilvl w:val="0"/>
          <w:numId w:val="23"/>
        </w:numPr>
      </w:pPr>
      <w:r>
        <w:t>Plan Performance-Gross Plan Costs vs Gross Budget is 88.4% (loss ratio)</w:t>
      </w:r>
      <w:r w:rsidR="00175277">
        <w:t>.</w:t>
      </w:r>
    </w:p>
    <w:p w:rsidR="00175277" w:rsidRDefault="00175277" w:rsidP="00646963">
      <w:pPr>
        <w:pStyle w:val="ListParagraph"/>
        <w:numPr>
          <w:ilvl w:val="0"/>
          <w:numId w:val="23"/>
        </w:numPr>
      </w:pPr>
      <w:r>
        <w:t xml:space="preserve">Difference between Gross Budget and Gross Plan Cost is $125,420, which should be applied to </w:t>
      </w:r>
      <w:r w:rsidR="001418BF">
        <w:t>reserves</w:t>
      </w:r>
      <w:r>
        <w:t>.</w:t>
      </w:r>
    </w:p>
    <w:p w:rsidR="00646963" w:rsidRDefault="00646963" w:rsidP="00646963">
      <w:pPr>
        <w:pStyle w:val="ListParagraph"/>
        <w:numPr>
          <w:ilvl w:val="0"/>
          <w:numId w:val="23"/>
        </w:numPr>
      </w:pPr>
      <w:r>
        <w:t xml:space="preserve">Mercer estimates dental reserves as of December 31, 2014 should be </w:t>
      </w:r>
      <w:r w:rsidR="0005329B">
        <w:t>$</w:t>
      </w:r>
      <w:r>
        <w:t>1</w:t>
      </w:r>
      <w:r w:rsidR="0005329B">
        <w:t>15,000.</w:t>
      </w:r>
    </w:p>
    <w:p w:rsidR="00B65E8D" w:rsidRDefault="0005329B" w:rsidP="00B65E8D">
      <w:pPr>
        <w:pStyle w:val="ListParagraph"/>
        <w:numPr>
          <w:ilvl w:val="0"/>
          <w:numId w:val="23"/>
        </w:numPr>
      </w:pPr>
      <w:r>
        <w:t xml:space="preserve">Mercer also estimates an additional contingency reserve of $115,000 for unusual </w:t>
      </w:r>
      <w:r w:rsidR="00B65E8D">
        <w:t>claims fluctuation.</w:t>
      </w:r>
    </w:p>
    <w:p w:rsidR="00B65E8D" w:rsidRDefault="00B65E8D" w:rsidP="00B65E8D">
      <w:pPr>
        <w:pStyle w:val="ListParagraph"/>
        <w:numPr>
          <w:ilvl w:val="0"/>
          <w:numId w:val="12"/>
        </w:numPr>
      </w:pPr>
      <w:r>
        <w:t>Utilization Four Year Experience History</w:t>
      </w:r>
    </w:p>
    <w:p w:rsidR="00B65E8D" w:rsidRDefault="00B65E8D" w:rsidP="00B65E8D">
      <w:pPr>
        <w:pStyle w:val="ListParagraph"/>
        <w:numPr>
          <w:ilvl w:val="0"/>
          <w:numId w:val="24"/>
        </w:numPr>
      </w:pPr>
      <w:r>
        <w:t>Major uptick in special and restorative service categories</w:t>
      </w:r>
    </w:p>
    <w:p w:rsidR="00B65E8D" w:rsidRDefault="00B65E8D" w:rsidP="00B65E8D">
      <w:pPr>
        <w:pStyle w:val="ListParagraph"/>
        <w:numPr>
          <w:ilvl w:val="0"/>
          <w:numId w:val="24"/>
        </w:numPr>
      </w:pPr>
      <w:r>
        <w:t>2014 27% increase in special restoration spend compared to Delta Dental normative data at 18.8%.</w:t>
      </w:r>
    </w:p>
    <w:p w:rsidR="00B65E8D" w:rsidRDefault="00B65E8D" w:rsidP="00B65E8D">
      <w:pPr>
        <w:pStyle w:val="ListParagraph"/>
        <w:numPr>
          <w:ilvl w:val="0"/>
          <w:numId w:val="24"/>
        </w:numPr>
      </w:pPr>
      <w:r>
        <w:t>2015 renewal projection $96.03 PEPM, which was trending at (2%), over prior 12 months.</w:t>
      </w:r>
    </w:p>
    <w:p w:rsidR="00B65E8D" w:rsidRDefault="00B65E8D" w:rsidP="00B65E8D">
      <w:pPr>
        <w:pStyle w:val="ListParagraph"/>
        <w:numPr>
          <w:ilvl w:val="0"/>
          <w:numId w:val="24"/>
        </w:numPr>
      </w:pPr>
      <w:r>
        <w:t xml:space="preserve">New experience </w:t>
      </w:r>
      <w:r w:rsidR="001418BF">
        <w:t>$99.37, a 3.5% increase over the projection experience period.</w:t>
      </w:r>
    </w:p>
    <w:p w:rsidR="001418BF" w:rsidRDefault="001418BF" w:rsidP="00B65E8D">
      <w:pPr>
        <w:pStyle w:val="ListParagraph"/>
        <w:numPr>
          <w:ilvl w:val="0"/>
          <w:numId w:val="24"/>
        </w:numPr>
      </w:pPr>
      <w:r>
        <w:t>Unexpected uptick, not sure what’s driving it.</w:t>
      </w:r>
    </w:p>
    <w:p w:rsidR="006F0638" w:rsidRDefault="006F0638" w:rsidP="006F0638">
      <w:pPr>
        <w:pStyle w:val="ListParagraph"/>
        <w:ind w:left="1800"/>
      </w:pPr>
    </w:p>
    <w:p w:rsidR="006F0638" w:rsidRDefault="006F0638" w:rsidP="006F0638">
      <w:pPr>
        <w:rPr>
          <w:b/>
        </w:rPr>
      </w:pPr>
      <w:r w:rsidRPr="006F0638">
        <w:rPr>
          <w:b/>
        </w:rPr>
        <w:t>Reserve Requirement Update</w:t>
      </w:r>
      <w:r w:rsidR="005C1F43">
        <w:rPr>
          <w:b/>
        </w:rPr>
        <w:t>-Recommendations and Considerations-</w:t>
      </w:r>
      <w:r w:rsidR="005C1F43" w:rsidRPr="005C1F43">
        <w:rPr>
          <w:b/>
        </w:rPr>
        <w:t>Kristin</w:t>
      </w:r>
    </w:p>
    <w:p w:rsidR="005C1F43" w:rsidRDefault="005C1F43" w:rsidP="005C1F43">
      <w:pPr>
        <w:pStyle w:val="ListParagraph"/>
        <w:numPr>
          <w:ilvl w:val="0"/>
          <w:numId w:val="12"/>
        </w:numPr>
      </w:pPr>
      <w:r>
        <w:t xml:space="preserve">Medical trend is 16.2%.  When 16% trend is used the revised renewal requires 15.3% rate </w:t>
      </w:r>
      <w:r w:rsidR="00305BE7">
        <w:t xml:space="preserve">increase </w:t>
      </w:r>
      <w:r>
        <w:t>instead of 6.5%.</w:t>
      </w:r>
    </w:p>
    <w:p w:rsidR="00BF0A3D" w:rsidRDefault="00BF0A3D" w:rsidP="00BF0A3D">
      <w:pPr>
        <w:pStyle w:val="ListParagraph"/>
        <w:numPr>
          <w:ilvl w:val="0"/>
          <w:numId w:val="26"/>
        </w:numPr>
      </w:pPr>
      <w:r>
        <w:t>Industry is 9</w:t>
      </w:r>
      <w:r w:rsidR="00216266">
        <w:t>%, when applied to County trend</w:t>
      </w:r>
      <w:r>
        <w:t xml:space="preserve"> rate </w:t>
      </w:r>
      <w:r w:rsidR="00216266">
        <w:t xml:space="preserve">the </w:t>
      </w:r>
      <w:r>
        <w:t>increase is 8.9%</w:t>
      </w:r>
      <w:r w:rsidR="00216266">
        <w:t>,</w:t>
      </w:r>
      <w:r>
        <w:t xml:space="preserve"> which is still higher than original 6.5% increase.</w:t>
      </w:r>
    </w:p>
    <w:p w:rsidR="005C1F43" w:rsidRDefault="005C1F43" w:rsidP="005C1F43">
      <w:pPr>
        <w:pStyle w:val="ListParagraph"/>
        <w:numPr>
          <w:ilvl w:val="0"/>
          <w:numId w:val="26"/>
        </w:numPr>
      </w:pPr>
      <w:r>
        <w:t>Consider using County’s own trend.</w:t>
      </w:r>
    </w:p>
    <w:p w:rsidR="003F70CB" w:rsidRDefault="003F70CB" w:rsidP="00BF0A3D">
      <w:pPr>
        <w:pStyle w:val="ListParagraph"/>
        <w:numPr>
          <w:ilvl w:val="0"/>
          <w:numId w:val="12"/>
        </w:numPr>
      </w:pPr>
      <w:r>
        <w:t xml:space="preserve">Dental trend is 3.5%.  When 3.5% trend is used </w:t>
      </w:r>
      <w:r w:rsidR="00BF0A3D">
        <w:t xml:space="preserve">the </w:t>
      </w:r>
      <w:r>
        <w:t xml:space="preserve">revised renewal requires </w:t>
      </w:r>
      <w:r w:rsidR="00D07996">
        <w:t xml:space="preserve">a </w:t>
      </w:r>
      <w:r>
        <w:t xml:space="preserve">1.9% rate </w:t>
      </w:r>
      <w:r w:rsidR="00305BE7">
        <w:t>increase</w:t>
      </w:r>
      <w:r w:rsidR="00A342B1">
        <w:t xml:space="preserve"> instead of a 2.3% increase</w:t>
      </w:r>
      <w:r>
        <w:t xml:space="preserve"> of which </w:t>
      </w:r>
      <w:r w:rsidR="00A342B1">
        <w:t xml:space="preserve">a </w:t>
      </w:r>
      <w:r>
        <w:t>0% was applied.</w:t>
      </w:r>
    </w:p>
    <w:p w:rsidR="003F70CB" w:rsidRDefault="003F70CB" w:rsidP="00BF0A3D">
      <w:pPr>
        <w:pStyle w:val="ListParagraph"/>
        <w:numPr>
          <w:ilvl w:val="0"/>
          <w:numId w:val="27"/>
        </w:numPr>
      </w:pPr>
      <w:r>
        <w:t>Industry trend is 5%</w:t>
      </w:r>
    </w:p>
    <w:p w:rsidR="003F70CB" w:rsidRDefault="003F70CB" w:rsidP="00BF0A3D">
      <w:pPr>
        <w:pStyle w:val="ListParagraph"/>
        <w:numPr>
          <w:ilvl w:val="0"/>
          <w:numId w:val="27"/>
        </w:numPr>
      </w:pPr>
      <w:r>
        <w:t>Dental individual maximums limit liability.</w:t>
      </w:r>
    </w:p>
    <w:p w:rsidR="003F70CB" w:rsidRDefault="003F70CB" w:rsidP="00BF0A3D">
      <w:pPr>
        <w:pStyle w:val="ListParagraph"/>
        <w:numPr>
          <w:ilvl w:val="0"/>
          <w:numId w:val="27"/>
        </w:numPr>
      </w:pPr>
      <w:r>
        <w:t>Consider using market trend.</w:t>
      </w:r>
    </w:p>
    <w:p w:rsidR="00BF0A3D" w:rsidRDefault="00BF0A3D" w:rsidP="00BF0A3D">
      <w:pPr>
        <w:pStyle w:val="ListParagraph"/>
        <w:numPr>
          <w:ilvl w:val="0"/>
          <w:numId w:val="12"/>
        </w:numPr>
      </w:pPr>
      <w:r>
        <w:t>Unsure of when cycle of good utilization will begin.</w:t>
      </w:r>
    </w:p>
    <w:p w:rsidR="00BF0A3D" w:rsidRDefault="00BF0A3D" w:rsidP="00BF0A3D">
      <w:pPr>
        <w:pStyle w:val="ListParagraph"/>
        <w:numPr>
          <w:ilvl w:val="0"/>
          <w:numId w:val="12"/>
        </w:numPr>
      </w:pPr>
      <w:r>
        <w:t>Concern large rate increase on the Regence side will drive members to Kaiser, which may further erode Regence experience and rates.</w:t>
      </w:r>
    </w:p>
    <w:p w:rsidR="002B4BE0" w:rsidRDefault="002B4BE0" w:rsidP="00BF0A3D">
      <w:pPr>
        <w:pStyle w:val="ListParagraph"/>
        <w:numPr>
          <w:ilvl w:val="0"/>
          <w:numId w:val="12"/>
        </w:numPr>
      </w:pPr>
      <w:r>
        <w:t>Don’t want to be underfunded, but don’t’ want to be too conservative with rates if utilization starts to normalize.</w:t>
      </w:r>
    </w:p>
    <w:p w:rsidR="005C1F43" w:rsidRDefault="00216266" w:rsidP="00216266">
      <w:pPr>
        <w:jc w:val="center"/>
        <w:rPr>
          <w:b/>
        </w:rPr>
      </w:pPr>
      <w:r w:rsidRPr="00216266">
        <w:rPr>
          <w:b/>
        </w:rPr>
        <w:t>Questions/Discussion</w:t>
      </w:r>
    </w:p>
    <w:p w:rsidR="00216266" w:rsidRDefault="00216266" w:rsidP="00216266">
      <w:pPr>
        <w:pStyle w:val="ListParagraph"/>
        <w:numPr>
          <w:ilvl w:val="0"/>
          <w:numId w:val="28"/>
        </w:numPr>
      </w:pPr>
      <w:r>
        <w:t>Francine asked if Mercer could look at 18 months or 24 months of trend, move to a 2-year model.</w:t>
      </w:r>
    </w:p>
    <w:p w:rsidR="00216266" w:rsidRDefault="00216266" w:rsidP="00216266">
      <w:pPr>
        <w:pStyle w:val="ListParagraph"/>
        <w:numPr>
          <w:ilvl w:val="0"/>
          <w:numId w:val="28"/>
        </w:numPr>
      </w:pPr>
      <w:r>
        <w:t>Kristin said that change would switch the way the plan is underwritten, need to be consistent.</w:t>
      </w:r>
    </w:p>
    <w:p w:rsidR="00216266" w:rsidRDefault="00216266" w:rsidP="00216266">
      <w:pPr>
        <w:pStyle w:val="ListParagraph"/>
        <w:numPr>
          <w:ilvl w:val="0"/>
          <w:numId w:val="28"/>
        </w:numPr>
      </w:pPr>
      <w:r>
        <w:t>Mercer will reconvene with June’s experience to determine if costs start</w:t>
      </w:r>
      <w:r w:rsidR="00E14269">
        <w:t xml:space="preserve"> t</w:t>
      </w:r>
      <w:r>
        <w:t>o</w:t>
      </w:r>
      <w:r w:rsidR="00E14269">
        <w:t xml:space="preserve"> normalize</w:t>
      </w:r>
      <w:r>
        <w:t xml:space="preserve"> during the first 6 months of 2015.</w:t>
      </w:r>
    </w:p>
    <w:p w:rsidR="007C1403" w:rsidRDefault="009C78D0" w:rsidP="00216266">
      <w:pPr>
        <w:pStyle w:val="ListParagraph"/>
        <w:numPr>
          <w:ilvl w:val="0"/>
          <w:numId w:val="28"/>
        </w:numPr>
      </w:pPr>
      <w:r>
        <w:t>Kathy, 2016 rates need to be decided so she can take them to the health care committee.</w:t>
      </w:r>
    </w:p>
    <w:p w:rsidR="00E14269" w:rsidRDefault="00E14269" w:rsidP="00216266">
      <w:pPr>
        <w:pStyle w:val="ListParagraph"/>
        <w:numPr>
          <w:ilvl w:val="0"/>
          <w:numId w:val="28"/>
        </w:numPr>
      </w:pPr>
      <w:r>
        <w:lastRenderedPageBreak/>
        <w:t>Kathy has concerns that the premiums will be overstated based on current trend</w:t>
      </w:r>
      <w:r w:rsidR="00AB1579">
        <w:t>,</w:t>
      </w:r>
      <w:r>
        <w:t xml:space="preserve"> which will cause </w:t>
      </w:r>
      <w:r w:rsidR="00AB1579">
        <w:t>the plan to be overfunded</w:t>
      </w:r>
      <w:r>
        <w:t>.</w:t>
      </w:r>
    </w:p>
    <w:p w:rsidR="00E14269" w:rsidRDefault="00E14269" w:rsidP="00216266">
      <w:pPr>
        <w:pStyle w:val="ListParagraph"/>
        <w:numPr>
          <w:ilvl w:val="0"/>
          <w:numId w:val="28"/>
        </w:numPr>
      </w:pPr>
      <w:r>
        <w:t>Kristin will bring numbers to look at 2 year trend.</w:t>
      </w:r>
    </w:p>
    <w:p w:rsidR="00E14269" w:rsidRDefault="00E14269" w:rsidP="00E14269">
      <w:pPr>
        <w:pStyle w:val="ListParagraph"/>
        <w:numPr>
          <w:ilvl w:val="0"/>
          <w:numId w:val="30"/>
        </w:numPr>
      </w:pPr>
      <w:r>
        <w:t>70%=prior 12 months</w:t>
      </w:r>
    </w:p>
    <w:p w:rsidR="00E14269" w:rsidRDefault="00E14269" w:rsidP="00E14269">
      <w:pPr>
        <w:pStyle w:val="ListParagraph"/>
        <w:numPr>
          <w:ilvl w:val="0"/>
          <w:numId w:val="30"/>
        </w:numPr>
      </w:pPr>
      <w:r>
        <w:t>30%=most recent 12 months</w:t>
      </w:r>
    </w:p>
    <w:p w:rsidR="003844AA" w:rsidRDefault="00706BB9" w:rsidP="003844AA">
      <w:pPr>
        <w:pStyle w:val="ListParagraph"/>
        <w:numPr>
          <w:ilvl w:val="0"/>
          <w:numId w:val="31"/>
        </w:numPr>
      </w:pPr>
      <w:r>
        <w:t xml:space="preserve">Kathy doesn’t want to overstate rates </w:t>
      </w:r>
      <w:r w:rsidR="00F23C26">
        <w:t xml:space="preserve">because of </w:t>
      </w:r>
      <w:r>
        <w:t xml:space="preserve">the 2018 excise tax, </w:t>
      </w:r>
      <w:r w:rsidR="00F23C26">
        <w:t xml:space="preserve">which could increase </w:t>
      </w:r>
      <w:r>
        <w:t xml:space="preserve">the </w:t>
      </w:r>
      <w:r w:rsidR="00182C79">
        <w:t xml:space="preserve">current </w:t>
      </w:r>
      <w:r>
        <w:t>es</w:t>
      </w:r>
      <w:r w:rsidR="008D2264">
        <w:t xml:space="preserve">timated tax penalty </w:t>
      </w:r>
      <w:r w:rsidR="00C03019">
        <w:t>of</w:t>
      </w:r>
      <w:r w:rsidR="008D2264">
        <w:t xml:space="preserve"> $750,000.</w:t>
      </w:r>
    </w:p>
    <w:p w:rsidR="00C03019" w:rsidRDefault="00C03019" w:rsidP="00C03019">
      <w:pPr>
        <w:pStyle w:val="ListParagraph"/>
      </w:pPr>
    </w:p>
    <w:p w:rsidR="003844AA" w:rsidRDefault="003844AA" w:rsidP="003844AA">
      <w:pPr>
        <w:rPr>
          <w:b/>
        </w:rPr>
      </w:pPr>
      <w:r w:rsidRPr="00E33A47">
        <w:rPr>
          <w:b/>
        </w:rPr>
        <w:t>Fund Update-Kathy</w:t>
      </w:r>
    </w:p>
    <w:p w:rsidR="00532710" w:rsidRDefault="00B41CFC" w:rsidP="00B41CFC">
      <w:pPr>
        <w:pStyle w:val="ListParagraph"/>
        <w:numPr>
          <w:ilvl w:val="0"/>
          <w:numId w:val="31"/>
        </w:numPr>
      </w:pPr>
      <w:r>
        <w:t>Self-Insured fund statement represents</w:t>
      </w:r>
      <w:r w:rsidR="00532710">
        <w:t xml:space="preserve"> revenues, claims, and expenses, which are</w:t>
      </w:r>
      <w:r>
        <w:t xml:space="preserve"> tracked on a monthly basis</w:t>
      </w:r>
      <w:r w:rsidR="00532710">
        <w:t xml:space="preserve">.  </w:t>
      </w:r>
    </w:p>
    <w:p w:rsidR="00B41CFC" w:rsidRDefault="00532710" w:rsidP="00B41CFC">
      <w:pPr>
        <w:pStyle w:val="ListParagraph"/>
        <w:numPr>
          <w:ilvl w:val="0"/>
          <w:numId w:val="31"/>
        </w:numPr>
      </w:pPr>
      <w:r>
        <w:t>This statement provides a picture of where we are at</w:t>
      </w:r>
      <w:r w:rsidR="00B41CFC">
        <w:t xml:space="preserve"> through December 2014.</w:t>
      </w:r>
      <w:r>
        <w:t xml:space="preserve">  </w:t>
      </w:r>
    </w:p>
    <w:p w:rsidR="00532710" w:rsidRDefault="00532710" w:rsidP="00B41CFC">
      <w:pPr>
        <w:pStyle w:val="ListParagraph"/>
        <w:numPr>
          <w:ilvl w:val="0"/>
          <w:numId w:val="31"/>
        </w:numPr>
      </w:pPr>
      <w:r>
        <w:t>The plan has a $350,000 cash deposit at Regence.</w:t>
      </w:r>
    </w:p>
    <w:p w:rsidR="00532710" w:rsidRDefault="00532710" w:rsidP="00B41CFC">
      <w:pPr>
        <w:pStyle w:val="ListParagraph"/>
        <w:numPr>
          <w:ilvl w:val="0"/>
          <w:numId w:val="31"/>
        </w:numPr>
      </w:pPr>
      <w:r>
        <w:t>The $1.8 million reserves are 65% funded</w:t>
      </w:r>
      <w:r w:rsidR="009C0C1C">
        <w:t>.</w:t>
      </w:r>
    </w:p>
    <w:p w:rsidR="009C0C1C" w:rsidRDefault="009C0C1C" w:rsidP="009C0C1C">
      <w:pPr>
        <w:pStyle w:val="ListParagraph"/>
        <w:numPr>
          <w:ilvl w:val="0"/>
          <w:numId w:val="34"/>
        </w:numPr>
      </w:pPr>
      <w:r>
        <w:t>59% medical funded</w:t>
      </w:r>
    </w:p>
    <w:p w:rsidR="009C0C1C" w:rsidRDefault="009C0C1C" w:rsidP="009C0C1C">
      <w:pPr>
        <w:pStyle w:val="ListParagraph"/>
        <w:numPr>
          <w:ilvl w:val="0"/>
          <w:numId w:val="34"/>
        </w:numPr>
      </w:pPr>
      <w:r>
        <w:t>124% dental funded (over collected dental to offset medical</w:t>
      </w:r>
      <w:r w:rsidR="00B373FD">
        <w:t>)</w:t>
      </w:r>
      <w:r>
        <w:t>.</w:t>
      </w:r>
    </w:p>
    <w:p w:rsidR="008F69C3" w:rsidRDefault="008F69C3" w:rsidP="008F69C3">
      <w:pPr>
        <w:pStyle w:val="ListParagraph"/>
        <w:numPr>
          <w:ilvl w:val="0"/>
          <w:numId w:val="31"/>
        </w:numPr>
      </w:pPr>
      <w:r>
        <w:t>Currently on track to meet funding requirements, but could be close with high claims.</w:t>
      </w:r>
    </w:p>
    <w:p w:rsidR="008F69C3" w:rsidRDefault="008F69C3" w:rsidP="008F69C3">
      <w:pPr>
        <w:pStyle w:val="ListParagraph"/>
        <w:ind w:left="2160"/>
      </w:pPr>
    </w:p>
    <w:p w:rsidR="008D2264" w:rsidRPr="008D2264" w:rsidRDefault="008D2264" w:rsidP="008D2264">
      <w:pPr>
        <w:rPr>
          <w:b/>
        </w:rPr>
      </w:pPr>
      <w:r w:rsidRPr="008D2264">
        <w:rPr>
          <w:b/>
        </w:rPr>
        <w:t>Funding Reserves-John</w:t>
      </w:r>
    </w:p>
    <w:p w:rsidR="007C1403" w:rsidRDefault="007C1403" w:rsidP="00706BB9">
      <w:pPr>
        <w:pStyle w:val="ListParagraph"/>
        <w:numPr>
          <w:ilvl w:val="0"/>
          <w:numId w:val="31"/>
        </w:numPr>
      </w:pPr>
      <w:r>
        <w:t>Mark stated we have enough reserves to full</w:t>
      </w:r>
      <w:r w:rsidR="00E46150">
        <w:t>y</w:t>
      </w:r>
      <w:r>
        <w:t>-fund IBNR and contingency to fund unexpected claims.</w:t>
      </w:r>
    </w:p>
    <w:p w:rsidR="007C1403" w:rsidRDefault="007C1403" w:rsidP="00706BB9">
      <w:pPr>
        <w:pStyle w:val="ListParagraph"/>
        <w:numPr>
          <w:ilvl w:val="0"/>
          <w:numId w:val="31"/>
        </w:numPr>
      </w:pPr>
      <w:r>
        <w:t xml:space="preserve">Mark and John to communicate funding to </w:t>
      </w:r>
      <w:r w:rsidR="00695B53">
        <w:t xml:space="preserve">the </w:t>
      </w:r>
      <w:r>
        <w:t>health care committee.</w:t>
      </w:r>
    </w:p>
    <w:p w:rsidR="00E46150" w:rsidRDefault="00E46150" w:rsidP="00706BB9">
      <w:pPr>
        <w:pStyle w:val="ListParagraph"/>
        <w:numPr>
          <w:ilvl w:val="0"/>
          <w:numId w:val="31"/>
        </w:numPr>
      </w:pPr>
      <w:r>
        <w:t>Kristin said the plan should have 75%-85% set aside the first year.</w:t>
      </w:r>
    </w:p>
    <w:p w:rsidR="00E46150" w:rsidRDefault="00E46150" w:rsidP="00706BB9">
      <w:pPr>
        <w:pStyle w:val="ListParagraph"/>
        <w:numPr>
          <w:ilvl w:val="0"/>
          <w:numId w:val="31"/>
        </w:numPr>
      </w:pPr>
      <w:r>
        <w:t xml:space="preserve">John believes the State required that IBNR </w:t>
      </w:r>
      <w:r w:rsidR="00D9754C">
        <w:t xml:space="preserve">to </w:t>
      </w:r>
      <w:r>
        <w:t>be fully-funded and contingency reserve be funded by the end of second year.</w:t>
      </w:r>
    </w:p>
    <w:p w:rsidR="00E46150" w:rsidRDefault="00E46150" w:rsidP="00E46150">
      <w:pPr>
        <w:pStyle w:val="ListParagraph"/>
        <w:numPr>
          <w:ilvl w:val="0"/>
          <w:numId w:val="32"/>
        </w:numPr>
      </w:pPr>
      <w:r>
        <w:t>This sends a better message to the health care committee.</w:t>
      </w:r>
    </w:p>
    <w:p w:rsidR="00D16D45" w:rsidRDefault="00D16D45" w:rsidP="00D16D45">
      <w:pPr>
        <w:pStyle w:val="ListParagraph"/>
        <w:numPr>
          <w:ilvl w:val="0"/>
          <w:numId w:val="33"/>
        </w:numPr>
      </w:pPr>
      <w:r>
        <w:t>Mark and John fully fund IBNR $600,000 over next 2 months</w:t>
      </w:r>
    </w:p>
    <w:p w:rsidR="00D16D45" w:rsidRDefault="00D16D45" w:rsidP="00D16D45">
      <w:pPr>
        <w:pStyle w:val="ListParagraph"/>
        <w:numPr>
          <w:ilvl w:val="0"/>
          <w:numId w:val="33"/>
        </w:numPr>
      </w:pPr>
      <w:r>
        <w:t>Francine suggested we could fund both medical and dental at the same rate (fund 4 funds).</w:t>
      </w:r>
    </w:p>
    <w:p w:rsidR="00D16D45" w:rsidRDefault="00D16D45" w:rsidP="00D16D45">
      <w:pPr>
        <w:pStyle w:val="ListParagraph"/>
        <w:numPr>
          <w:ilvl w:val="0"/>
          <w:numId w:val="33"/>
        </w:numPr>
      </w:pPr>
      <w:r>
        <w:t xml:space="preserve">Kathy will report to </w:t>
      </w:r>
      <w:r w:rsidR="00BB5868">
        <w:t xml:space="preserve">the </w:t>
      </w:r>
      <w:r>
        <w:t>health care committee the amount IBNR funded to date at 3/5/15 meeting.</w:t>
      </w:r>
    </w:p>
    <w:p w:rsidR="000F124B" w:rsidRDefault="000F124B" w:rsidP="00D16D45">
      <w:pPr>
        <w:pStyle w:val="ListParagraph"/>
        <w:numPr>
          <w:ilvl w:val="0"/>
          <w:numId w:val="33"/>
        </w:numPr>
      </w:pPr>
      <w:r>
        <w:t xml:space="preserve">Kathy will have to report funding to the State, may need to dip into IBNR </w:t>
      </w:r>
      <w:r w:rsidR="006F48D5">
        <w:t xml:space="preserve">reserve </w:t>
      </w:r>
      <w:r>
        <w:t>to pay claims.</w:t>
      </w:r>
    </w:p>
    <w:p w:rsidR="000F124B" w:rsidRDefault="000F124B" w:rsidP="00D16D45">
      <w:pPr>
        <w:pStyle w:val="ListParagraph"/>
        <w:numPr>
          <w:ilvl w:val="0"/>
          <w:numId w:val="33"/>
        </w:numPr>
      </w:pPr>
      <w:r>
        <w:t>Kristin, situation is not horrible, but it’s not moving in the right direction.</w:t>
      </w:r>
    </w:p>
    <w:p w:rsidR="000F124B" w:rsidRDefault="000F124B" w:rsidP="00D16D45">
      <w:pPr>
        <w:pStyle w:val="ListParagraph"/>
        <w:numPr>
          <w:ilvl w:val="0"/>
          <w:numId w:val="33"/>
        </w:numPr>
      </w:pPr>
      <w:r>
        <w:t xml:space="preserve">Report to BOCC in April 2015 how self-insurance is doing, and provide in briefing </w:t>
      </w:r>
      <w:r w:rsidR="001D606E">
        <w:t xml:space="preserve">the </w:t>
      </w:r>
      <w:r>
        <w:t>need to add to fund based on new numbers.</w:t>
      </w:r>
    </w:p>
    <w:p w:rsidR="000F124B" w:rsidRDefault="000F124B" w:rsidP="00D16D45">
      <w:pPr>
        <w:pStyle w:val="ListParagraph"/>
        <w:numPr>
          <w:ilvl w:val="0"/>
          <w:numId w:val="33"/>
        </w:numPr>
      </w:pPr>
      <w:r>
        <w:t xml:space="preserve">Decision: to fund IBNR.  Mark to look at fund </w:t>
      </w:r>
      <w:r w:rsidR="00E869B3">
        <w:t xml:space="preserve">for </w:t>
      </w:r>
      <w:bookmarkStart w:id="0" w:name="_GoBack"/>
      <w:bookmarkEnd w:id="0"/>
      <w:r>
        <w:t>current month and next month to fully-fund IBNR with first year’s contribution.</w:t>
      </w:r>
    </w:p>
    <w:p w:rsidR="008D2264" w:rsidRDefault="008D2264" w:rsidP="008D2264">
      <w:pPr>
        <w:pStyle w:val="ListParagraph"/>
      </w:pPr>
    </w:p>
    <w:p w:rsidR="009E7B32" w:rsidRDefault="009E7B32" w:rsidP="008D2264">
      <w:pPr>
        <w:pStyle w:val="ListParagraph"/>
      </w:pPr>
      <w:r>
        <w:t>Next Meeting July 2015</w:t>
      </w:r>
    </w:p>
    <w:p w:rsidR="009E7B32" w:rsidRDefault="009E7B32" w:rsidP="008D2264">
      <w:pPr>
        <w:pStyle w:val="ListParagraph"/>
      </w:pPr>
    </w:p>
    <w:p w:rsidR="008D2264" w:rsidRDefault="008D2264" w:rsidP="008D2264">
      <w:pPr>
        <w:pStyle w:val="ListParagraph"/>
      </w:pPr>
      <w:r>
        <w:t>Adjourned.</w:t>
      </w:r>
    </w:p>
    <w:p w:rsidR="00E14269" w:rsidRPr="00216266" w:rsidRDefault="00E14269" w:rsidP="00E14269">
      <w:pPr>
        <w:pStyle w:val="ListParagraph"/>
        <w:ind w:left="1440"/>
      </w:pPr>
    </w:p>
    <w:p w:rsidR="00B65E8D" w:rsidRDefault="00B65E8D" w:rsidP="00B65E8D">
      <w:pPr>
        <w:pStyle w:val="ListParagraph"/>
      </w:pPr>
    </w:p>
    <w:sectPr w:rsidR="00B65E8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5A" w:rsidRDefault="0026165A" w:rsidP="003453E0">
      <w:pPr>
        <w:spacing w:line="240" w:lineRule="auto"/>
      </w:pPr>
      <w:r>
        <w:separator/>
      </w:r>
    </w:p>
  </w:endnote>
  <w:endnote w:type="continuationSeparator" w:id="0">
    <w:p w:rsidR="0026165A" w:rsidRDefault="0026165A" w:rsidP="0034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735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9BB" w:rsidRDefault="00A31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9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53E0" w:rsidRDefault="00A319BB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3320BA">
      <w:rPr>
        <w:noProof/>
      </w:rPr>
      <w:t>July 30, 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5A" w:rsidRDefault="0026165A" w:rsidP="003453E0">
      <w:pPr>
        <w:spacing w:line="240" w:lineRule="auto"/>
      </w:pPr>
      <w:r>
        <w:separator/>
      </w:r>
    </w:p>
  </w:footnote>
  <w:footnote w:type="continuationSeparator" w:id="0">
    <w:p w:rsidR="0026165A" w:rsidRDefault="0026165A" w:rsidP="0034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678"/>
    <w:multiLevelType w:val="hybridMultilevel"/>
    <w:tmpl w:val="6BCE40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A858E0"/>
    <w:multiLevelType w:val="hybridMultilevel"/>
    <w:tmpl w:val="C812FF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C5353F"/>
    <w:multiLevelType w:val="hybridMultilevel"/>
    <w:tmpl w:val="737E1F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6211B"/>
    <w:multiLevelType w:val="hybridMultilevel"/>
    <w:tmpl w:val="C4FC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896BF9"/>
    <w:multiLevelType w:val="hybridMultilevel"/>
    <w:tmpl w:val="E622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D2788"/>
    <w:multiLevelType w:val="hybridMultilevel"/>
    <w:tmpl w:val="929A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72D9"/>
    <w:multiLevelType w:val="hybridMultilevel"/>
    <w:tmpl w:val="63F650C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B24005"/>
    <w:multiLevelType w:val="hybridMultilevel"/>
    <w:tmpl w:val="77E276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9B54940"/>
    <w:multiLevelType w:val="hybridMultilevel"/>
    <w:tmpl w:val="27A0A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19C627E"/>
    <w:multiLevelType w:val="hybridMultilevel"/>
    <w:tmpl w:val="7B5872F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075DDD"/>
    <w:multiLevelType w:val="hybridMultilevel"/>
    <w:tmpl w:val="7116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C609E"/>
    <w:multiLevelType w:val="hybridMultilevel"/>
    <w:tmpl w:val="D3C85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194189"/>
    <w:multiLevelType w:val="hybridMultilevel"/>
    <w:tmpl w:val="29CA71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A415BC"/>
    <w:multiLevelType w:val="hybridMultilevel"/>
    <w:tmpl w:val="010696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9E01146"/>
    <w:multiLevelType w:val="hybridMultilevel"/>
    <w:tmpl w:val="9976C276"/>
    <w:lvl w:ilvl="0" w:tplc="C0F04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E4406C1"/>
    <w:multiLevelType w:val="hybridMultilevel"/>
    <w:tmpl w:val="AE7070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E980C9F"/>
    <w:multiLevelType w:val="hybridMultilevel"/>
    <w:tmpl w:val="C4FEF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8E318B"/>
    <w:multiLevelType w:val="hybridMultilevel"/>
    <w:tmpl w:val="CEFEA1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3A14465"/>
    <w:multiLevelType w:val="hybridMultilevel"/>
    <w:tmpl w:val="4692ABE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CF063B2"/>
    <w:multiLevelType w:val="hybridMultilevel"/>
    <w:tmpl w:val="C15A2356"/>
    <w:lvl w:ilvl="0" w:tplc="C0F04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356085"/>
    <w:multiLevelType w:val="hybridMultilevel"/>
    <w:tmpl w:val="1382D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34EA0"/>
    <w:multiLevelType w:val="hybridMultilevel"/>
    <w:tmpl w:val="10886F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4B43476"/>
    <w:multiLevelType w:val="hybridMultilevel"/>
    <w:tmpl w:val="9D4622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88786A"/>
    <w:multiLevelType w:val="hybridMultilevel"/>
    <w:tmpl w:val="51FCCB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8A1ABB"/>
    <w:multiLevelType w:val="hybridMultilevel"/>
    <w:tmpl w:val="3CCE2D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9F42436"/>
    <w:multiLevelType w:val="hybridMultilevel"/>
    <w:tmpl w:val="BB3228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357CD4"/>
    <w:multiLevelType w:val="hybridMultilevel"/>
    <w:tmpl w:val="51C43996"/>
    <w:lvl w:ilvl="0" w:tplc="C0F04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BB7F99"/>
    <w:multiLevelType w:val="hybridMultilevel"/>
    <w:tmpl w:val="BFB8AB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8C010C"/>
    <w:multiLevelType w:val="hybridMultilevel"/>
    <w:tmpl w:val="BC42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F5BD5"/>
    <w:multiLevelType w:val="hybridMultilevel"/>
    <w:tmpl w:val="9A68FA5E"/>
    <w:lvl w:ilvl="0" w:tplc="C0F04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EE193D"/>
    <w:multiLevelType w:val="hybridMultilevel"/>
    <w:tmpl w:val="C88E88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D866B09"/>
    <w:multiLevelType w:val="hybridMultilevel"/>
    <w:tmpl w:val="F09294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A461DE"/>
    <w:multiLevelType w:val="hybridMultilevel"/>
    <w:tmpl w:val="DA52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16574"/>
    <w:multiLevelType w:val="hybridMultilevel"/>
    <w:tmpl w:val="C518B6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3990818"/>
    <w:multiLevelType w:val="hybridMultilevel"/>
    <w:tmpl w:val="25FE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86ED3"/>
    <w:multiLevelType w:val="hybridMultilevel"/>
    <w:tmpl w:val="6C06BB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7CB75397"/>
    <w:multiLevelType w:val="hybridMultilevel"/>
    <w:tmpl w:val="3340A5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2"/>
  </w:num>
  <w:num w:numId="3">
    <w:abstractNumId w:val="35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23"/>
  </w:num>
  <w:num w:numId="9">
    <w:abstractNumId w:val="36"/>
  </w:num>
  <w:num w:numId="10">
    <w:abstractNumId w:val="24"/>
  </w:num>
  <w:num w:numId="11">
    <w:abstractNumId w:val="0"/>
  </w:num>
  <w:num w:numId="12">
    <w:abstractNumId w:val="32"/>
  </w:num>
  <w:num w:numId="13">
    <w:abstractNumId w:val="20"/>
  </w:num>
  <w:num w:numId="14">
    <w:abstractNumId w:val="31"/>
  </w:num>
  <w:num w:numId="15">
    <w:abstractNumId w:val="22"/>
  </w:num>
  <w:num w:numId="16">
    <w:abstractNumId w:val="27"/>
  </w:num>
  <w:num w:numId="17">
    <w:abstractNumId w:val="25"/>
  </w:num>
  <w:num w:numId="18">
    <w:abstractNumId w:val="12"/>
  </w:num>
  <w:num w:numId="19">
    <w:abstractNumId w:val="18"/>
  </w:num>
  <w:num w:numId="20">
    <w:abstractNumId w:val="3"/>
  </w:num>
  <w:num w:numId="21">
    <w:abstractNumId w:val="9"/>
  </w:num>
  <w:num w:numId="22">
    <w:abstractNumId w:val="3"/>
    <w:lvlOverride w:ilvl="0">
      <w:lvl w:ilvl="0" w:tplc="04090019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9"/>
  </w:num>
  <w:num w:numId="24">
    <w:abstractNumId w:val="26"/>
  </w:num>
  <w:num w:numId="25">
    <w:abstractNumId w:val="28"/>
  </w:num>
  <w:num w:numId="26">
    <w:abstractNumId w:val="14"/>
  </w:num>
  <w:num w:numId="27">
    <w:abstractNumId w:val="29"/>
  </w:num>
  <w:num w:numId="28">
    <w:abstractNumId w:val="4"/>
  </w:num>
  <w:num w:numId="29">
    <w:abstractNumId w:val="15"/>
  </w:num>
  <w:num w:numId="30">
    <w:abstractNumId w:val="33"/>
  </w:num>
  <w:num w:numId="31">
    <w:abstractNumId w:val="34"/>
  </w:num>
  <w:num w:numId="32">
    <w:abstractNumId w:val="7"/>
  </w:num>
  <w:num w:numId="33">
    <w:abstractNumId w:val="5"/>
  </w:num>
  <w:num w:numId="34">
    <w:abstractNumId w:val="6"/>
  </w:num>
  <w:num w:numId="35">
    <w:abstractNumId w:val="30"/>
  </w:num>
  <w:num w:numId="36">
    <w:abstractNumId w:val="17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F"/>
    <w:rsid w:val="00000BB1"/>
    <w:rsid w:val="00017E63"/>
    <w:rsid w:val="0002228A"/>
    <w:rsid w:val="00040A4C"/>
    <w:rsid w:val="00043E6E"/>
    <w:rsid w:val="0005329B"/>
    <w:rsid w:val="000B04DA"/>
    <w:rsid w:val="000C5929"/>
    <w:rsid w:val="000D65DE"/>
    <w:rsid w:val="000F124B"/>
    <w:rsid w:val="000F7217"/>
    <w:rsid w:val="00120767"/>
    <w:rsid w:val="00136873"/>
    <w:rsid w:val="001418BF"/>
    <w:rsid w:val="001563DF"/>
    <w:rsid w:val="00175277"/>
    <w:rsid w:val="00182C79"/>
    <w:rsid w:val="00191D87"/>
    <w:rsid w:val="001D10D5"/>
    <w:rsid w:val="001D217E"/>
    <w:rsid w:val="001D472C"/>
    <w:rsid w:val="001D606E"/>
    <w:rsid w:val="001E3794"/>
    <w:rsid w:val="00216266"/>
    <w:rsid w:val="002163E1"/>
    <w:rsid w:val="0026165A"/>
    <w:rsid w:val="002838AB"/>
    <w:rsid w:val="00290BAA"/>
    <w:rsid w:val="002A61D6"/>
    <w:rsid w:val="002B4BE0"/>
    <w:rsid w:val="002B7475"/>
    <w:rsid w:val="002C372F"/>
    <w:rsid w:val="002E4841"/>
    <w:rsid w:val="002F7E43"/>
    <w:rsid w:val="00305BE7"/>
    <w:rsid w:val="003320BA"/>
    <w:rsid w:val="003453E0"/>
    <w:rsid w:val="00346D1D"/>
    <w:rsid w:val="00351BE0"/>
    <w:rsid w:val="00361BD7"/>
    <w:rsid w:val="00373F94"/>
    <w:rsid w:val="00375CD0"/>
    <w:rsid w:val="003844AA"/>
    <w:rsid w:val="003A5EED"/>
    <w:rsid w:val="003C7D6E"/>
    <w:rsid w:val="003E04E6"/>
    <w:rsid w:val="003F70CB"/>
    <w:rsid w:val="00410AAE"/>
    <w:rsid w:val="004123FA"/>
    <w:rsid w:val="00445C49"/>
    <w:rsid w:val="00455F36"/>
    <w:rsid w:val="004664AD"/>
    <w:rsid w:val="004673DF"/>
    <w:rsid w:val="004735A1"/>
    <w:rsid w:val="0049259F"/>
    <w:rsid w:val="004A6D71"/>
    <w:rsid w:val="004E561D"/>
    <w:rsid w:val="00532710"/>
    <w:rsid w:val="00550250"/>
    <w:rsid w:val="005A62B6"/>
    <w:rsid w:val="005C1F43"/>
    <w:rsid w:val="005D1A93"/>
    <w:rsid w:val="005F7BF3"/>
    <w:rsid w:val="00631DCA"/>
    <w:rsid w:val="00646963"/>
    <w:rsid w:val="006627DC"/>
    <w:rsid w:val="00673B55"/>
    <w:rsid w:val="00674263"/>
    <w:rsid w:val="00684CD0"/>
    <w:rsid w:val="00691982"/>
    <w:rsid w:val="00695B53"/>
    <w:rsid w:val="006A302B"/>
    <w:rsid w:val="006B05F8"/>
    <w:rsid w:val="006E5CF7"/>
    <w:rsid w:val="006F0638"/>
    <w:rsid w:val="006F48D5"/>
    <w:rsid w:val="006F7B2C"/>
    <w:rsid w:val="00703E78"/>
    <w:rsid w:val="00706BB9"/>
    <w:rsid w:val="00724CB0"/>
    <w:rsid w:val="00731A68"/>
    <w:rsid w:val="00750052"/>
    <w:rsid w:val="007A528E"/>
    <w:rsid w:val="007C08EB"/>
    <w:rsid w:val="007C1403"/>
    <w:rsid w:val="007E0D8F"/>
    <w:rsid w:val="00833ABE"/>
    <w:rsid w:val="00834C0C"/>
    <w:rsid w:val="008447AD"/>
    <w:rsid w:val="00861717"/>
    <w:rsid w:val="008617F2"/>
    <w:rsid w:val="00864AD7"/>
    <w:rsid w:val="0087636E"/>
    <w:rsid w:val="00882129"/>
    <w:rsid w:val="0088501A"/>
    <w:rsid w:val="00895A3C"/>
    <w:rsid w:val="008B3EC0"/>
    <w:rsid w:val="008C4382"/>
    <w:rsid w:val="008D2264"/>
    <w:rsid w:val="008D6C7D"/>
    <w:rsid w:val="008E42F3"/>
    <w:rsid w:val="008F69C3"/>
    <w:rsid w:val="00910630"/>
    <w:rsid w:val="009346D3"/>
    <w:rsid w:val="00942BC4"/>
    <w:rsid w:val="009538D7"/>
    <w:rsid w:val="00990A80"/>
    <w:rsid w:val="009A27EF"/>
    <w:rsid w:val="009A3A52"/>
    <w:rsid w:val="009C0C1C"/>
    <w:rsid w:val="009C78D0"/>
    <w:rsid w:val="009E02BD"/>
    <w:rsid w:val="009E2CA1"/>
    <w:rsid w:val="009E7B32"/>
    <w:rsid w:val="00A01295"/>
    <w:rsid w:val="00A10D20"/>
    <w:rsid w:val="00A137F7"/>
    <w:rsid w:val="00A319BB"/>
    <w:rsid w:val="00A342B1"/>
    <w:rsid w:val="00AB1579"/>
    <w:rsid w:val="00AB36E7"/>
    <w:rsid w:val="00AB529E"/>
    <w:rsid w:val="00AE025A"/>
    <w:rsid w:val="00B041C1"/>
    <w:rsid w:val="00B24053"/>
    <w:rsid w:val="00B373FD"/>
    <w:rsid w:val="00B41CFC"/>
    <w:rsid w:val="00B514AD"/>
    <w:rsid w:val="00B54859"/>
    <w:rsid w:val="00B65E8D"/>
    <w:rsid w:val="00B92B4F"/>
    <w:rsid w:val="00BB5868"/>
    <w:rsid w:val="00BC00AE"/>
    <w:rsid w:val="00BC3BDF"/>
    <w:rsid w:val="00BD7213"/>
    <w:rsid w:val="00BF0A3D"/>
    <w:rsid w:val="00C03019"/>
    <w:rsid w:val="00C045FF"/>
    <w:rsid w:val="00C070F7"/>
    <w:rsid w:val="00C106BC"/>
    <w:rsid w:val="00C223D7"/>
    <w:rsid w:val="00CB17FD"/>
    <w:rsid w:val="00CC5421"/>
    <w:rsid w:val="00CF7C95"/>
    <w:rsid w:val="00D07996"/>
    <w:rsid w:val="00D115E1"/>
    <w:rsid w:val="00D15FB5"/>
    <w:rsid w:val="00D16D45"/>
    <w:rsid w:val="00D26DDD"/>
    <w:rsid w:val="00D773F7"/>
    <w:rsid w:val="00D94626"/>
    <w:rsid w:val="00D9681C"/>
    <w:rsid w:val="00D9754C"/>
    <w:rsid w:val="00DC5C17"/>
    <w:rsid w:val="00DC5D2A"/>
    <w:rsid w:val="00DD1549"/>
    <w:rsid w:val="00DD2DF0"/>
    <w:rsid w:val="00E14269"/>
    <w:rsid w:val="00E30303"/>
    <w:rsid w:val="00E33A47"/>
    <w:rsid w:val="00E45166"/>
    <w:rsid w:val="00E46150"/>
    <w:rsid w:val="00E7277B"/>
    <w:rsid w:val="00E742E2"/>
    <w:rsid w:val="00E869B3"/>
    <w:rsid w:val="00E873ED"/>
    <w:rsid w:val="00EC6CB3"/>
    <w:rsid w:val="00EF613F"/>
    <w:rsid w:val="00F23C26"/>
    <w:rsid w:val="00F30E61"/>
    <w:rsid w:val="00F40869"/>
    <w:rsid w:val="00F51799"/>
    <w:rsid w:val="00FA17EB"/>
    <w:rsid w:val="00FA51F2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0"/>
  </w:style>
  <w:style w:type="paragraph" w:styleId="Footer">
    <w:name w:val="footer"/>
    <w:basedOn w:val="Normal"/>
    <w:link w:val="Foot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E0"/>
  </w:style>
  <w:style w:type="paragraph" w:styleId="ListParagraph">
    <w:name w:val="List Paragraph"/>
    <w:basedOn w:val="Normal"/>
    <w:uiPriority w:val="34"/>
    <w:qFormat/>
    <w:rsid w:val="0055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0"/>
  </w:style>
  <w:style w:type="paragraph" w:styleId="Footer">
    <w:name w:val="footer"/>
    <w:basedOn w:val="Normal"/>
    <w:link w:val="Foot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E0"/>
  </w:style>
  <w:style w:type="paragraph" w:styleId="ListParagraph">
    <w:name w:val="List Paragraph"/>
    <w:basedOn w:val="Normal"/>
    <w:uiPriority w:val="34"/>
    <w:qFormat/>
    <w:rsid w:val="0055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9C2B-A655-4CB8-A571-45C6AD2B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Hammrich, Jeremy</dc:creator>
  <cp:lastModifiedBy>Maria Vergis</cp:lastModifiedBy>
  <cp:revision>74</cp:revision>
  <cp:lastPrinted>2015-05-04T15:35:00Z</cp:lastPrinted>
  <dcterms:created xsi:type="dcterms:W3CDTF">2015-04-24T21:06:00Z</dcterms:created>
  <dcterms:modified xsi:type="dcterms:W3CDTF">2015-07-30T15:27:00Z</dcterms:modified>
</cp:coreProperties>
</file>