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DD" w:rsidRDefault="00834C0C" w:rsidP="00BC3BDF">
      <w:pPr>
        <w:pStyle w:val="Title"/>
        <w:jc w:val="center"/>
      </w:pPr>
      <w:r>
        <w:t>Self-Insurance</w:t>
      </w:r>
      <w:r w:rsidR="00BC3BDF">
        <w:t xml:space="preserve"> Committee</w:t>
      </w:r>
    </w:p>
    <w:p w:rsidR="00BC3BDF" w:rsidRPr="00BC3BDF" w:rsidRDefault="00BC3BDF" w:rsidP="00BC3BDF">
      <w:pPr>
        <w:pStyle w:val="Title"/>
        <w:jc w:val="center"/>
        <w:rPr>
          <w:sz w:val="32"/>
          <w:szCs w:val="32"/>
        </w:rPr>
      </w:pPr>
      <w:r w:rsidRPr="00BC3BDF">
        <w:rPr>
          <w:sz w:val="32"/>
          <w:szCs w:val="32"/>
        </w:rPr>
        <w:t>Meeting Minutes</w:t>
      </w:r>
    </w:p>
    <w:p w:rsidR="00BC3BDF" w:rsidRDefault="00135AF6" w:rsidP="00BC3BDF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August 3, 2015</w:t>
      </w:r>
    </w:p>
    <w:p w:rsidR="00BC3BDF" w:rsidRDefault="00BC3BDF" w:rsidP="00BC3BDF">
      <w:pPr>
        <w:tabs>
          <w:tab w:val="left" w:pos="1440"/>
        </w:tabs>
      </w:pPr>
      <w:r>
        <w:t xml:space="preserve">Attendance: </w:t>
      </w:r>
      <w:r>
        <w:tab/>
        <w:t>John Payne, Treasurer’s Office</w:t>
      </w:r>
    </w:p>
    <w:p w:rsidR="00BC3BDF" w:rsidRDefault="00BC3BDF" w:rsidP="00BC3BDF">
      <w:pPr>
        <w:ind w:left="720" w:firstLine="720"/>
      </w:pPr>
      <w:r>
        <w:t>Francine Reis, Human Resources</w:t>
      </w:r>
    </w:p>
    <w:p w:rsidR="00BC3BDF" w:rsidRDefault="003E04E6" w:rsidP="00BC3BDF">
      <w:pPr>
        <w:ind w:left="720" w:firstLine="720"/>
      </w:pPr>
      <w:r>
        <w:t>Adriana Prata</w:t>
      </w:r>
      <w:r w:rsidR="00BC3BDF">
        <w:t xml:space="preserve">, </w:t>
      </w:r>
      <w:r w:rsidR="00834C0C">
        <w:t>Budget Office</w:t>
      </w:r>
    </w:p>
    <w:p w:rsidR="00BC3BDF" w:rsidRDefault="00BC3BDF" w:rsidP="00BC3BDF">
      <w:pPr>
        <w:ind w:left="720" w:firstLine="720"/>
      </w:pPr>
      <w:r>
        <w:t>Kathy Meyers, Human Resources</w:t>
      </w:r>
    </w:p>
    <w:p w:rsidR="00D15FB5" w:rsidRDefault="00D15FB5" w:rsidP="00BC3BDF">
      <w:pPr>
        <w:ind w:left="720" w:firstLine="720"/>
      </w:pPr>
      <w:r>
        <w:t>Chris Horne, PA’s Office</w:t>
      </w:r>
      <w:r w:rsidR="00455F36">
        <w:t xml:space="preserve"> </w:t>
      </w:r>
    </w:p>
    <w:p w:rsidR="003E04E6" w:rsidRDefault="003E04E6" w:rsidP="003E04E6">
      <w:pPr>
        <w:ind w:left="720" w:firstLine="720"/>
      </w:pPr>
      <w:r>
        <w:t xml:space="preserve">Kristen </w:t>
      </w:r>
      <w:r w:rsidRPr="00834C0C">
        <w:t>Kirschten</w:t>
      </w:r>
      <w:r>
        <w:t>, Mercer</w:t>
      </w:r>
    </w:p>
    <w:p w:rsidR="003E04E6" w:rsidRDefault="003E04E6" w:rsidP="003E04E6">
      <w:pPr>
        <w:ind w:left="720" w:firstLine="720"/>
      </w:pPr>
      <w:r>
        <w:t>Mike Berry, Mercer</w:t>
      </w:r>
    </w:p>
    <w:p w:rsidR="00135AF6" w:rsidRDefault="00135AF6" w:rsidP="003E04E6">
      <w:pPr>
        <w:ind w:left="720" w:firstLine="720"/>
      </w:pPr>
    </w:p>
    <w:p w:rsidR="00135AF6" w:rsidRDefault="00135AF6" w:rsidP="00135AF6">
      <w:r>
        <w:t>Absent:  Mark Gassaway</w:t>
      </w:r>
    </w:p>
    <w:p w:rsidR="00135AF6" w:rsidRDefault="00135AF6" w:rsidP="00135AF6"/>
    <w:p w:rsidR="00A93C77" w:rsidRDefault="00135AF6" w:rsidP="006F0638">
      <w:r>
        <w:rPr>
          <w:b/>
        </w:rPr>
        <w:t>Plan Review</w:t>
      </w:r>
      <w:r w:rsidR="006F0638">
        <w:rPr>
          <w:b/>
        </w:rPr>
        <w:t>-</w:t>
      </w:r>
      <w:r w:rsidR="004E561D" w:rsidRPr="005C1F43">
        <w:rPr>
          <w:b/>
        </w:rPr>
        <w:t>Kristin</w:t>
      </w:r>
    </w:p>
    <w:p w:rsidR="006F0638" w:rsidRDefault="00195AF8" w:rsidP="006F0638">
      <w:r>
        <w:t>Medical e</w:t>
      </w:r>
      <w:r w:rsidR="005757FE">
        <w:t>xperience is</w:t>
      </w:r>
      <w:r w:rsidR="00A93C77">
        <w:t xml:space="preserve"> based on 12 mon</w:t>
      </w:r>
      <w:r w:rsidR="005757FE">
        <w:t>ths of fully mature claims data</w:t>
      </w:r>
      <w:r w:rsidR="00A93C77">
        <w:t xml:space="preserve"> through June 30, 2015</w:t>
      </w:r>
      <w:r w:rsidR="005757FE">
        <w:t>, which</w:t>
      </w:r>
      <w:r w:rsidR="00A93C77">
        <w:t xml:space="preserve"> includes the fully insured plan’s </w:t>
      </w:r>
      <w:r w:rsidR="005757FE">
        <w:t xml:space="preserve">claims </w:t>
      </w:r>
      <w:r w:rsidR="00A93C77">
        <w:t>run-out.</w:t>
      </w:r>
    </w:p>
    <w:p w:rsidR="00AB56D6" w:rsidRDefault="00AB56D6" w:rsidP="00AB56D6">
      <w:pPr>
        <w:pStyle w:val="ListParagraph"/>
        <w:numPr>
          <w:ilvl w:val="1"/>
          <w:numId w:val="40"/>
        </w:numPr>
      </w:pPr>
      <w:r>
        <w:t>Plan Performance-Gross Plan Costs (fixed</w:t>
      </w:r>
      <w:r w:rsidR="007577A6">
        <w:t xml:space="preserve"> </w:t>
      </w:r>
      <w:r w:rsidR="00E03573">
        <w:t>costs</w:t>
      </w:r>
      <w:r>
        <w:t xml:space="preserve"> and adjusted paid claims) vs Gross Budget (rates x enrollment) is 99.3% (loss ratio)</w:t>
      </w:r>
    </w:p>
    <w:p w:rsidR="00A93C77" w:rsidRDefault="00A93C77" w:rsidP="00AB56D6">
      <w:pPr>
        <w:pStyle w:val="ListParagraph"/>
        <w:numPr>
          <w:ilvl w:val="1"/>
          <w:numId w:val="40"/>
        </w:numPr>
      </w:pPr>
      <w:r>
        <w:t>The first 6 months of experience July 2014-December 2014 was not good.</w:t>
      </w:r>
    </w:p>
    <w:p w:rsidR="00AB56D6" w:rsidRDefault="00AB56D6" w:rsidP="00AB56D6">
      <w:pPr>
        <w:pStyle w:val="ListParagraph"/>
        <w:numPr>
          <w:ilvl w:val="2"/>
          <w:numId w:val="40"/>
        </w:numPr>
      </w:pPr>
      <w:r>
        <w:t>The loss ratio exceeded 100% in the months of July, August, and September 2014 (100% break-even point).</w:t>
      </w:r>
    </w:p>
    <w:p w:rsidR="00AB56D6" w:rsidRDefault="00AB56D6" w:rsidP="00F26ABE">
      <w:pPr>
        <w:pStyle w:val="ListParagraph"/>
        <w:numPr>
          <w:ilvl w:val="2"/>
          <w:numId w:val="40"/>
        </w:numPr>
      </w:pPr>
      <w:r>
        <w:t xml:space="preserve">Experience improved in </w:t>
      </w:r>
      <w:r w:rsidR="00F26ABE">
        <w:t xml:space="preserve">January with a good </w:t>
      </w:r>
      <w:r w:rsidR="005757FE">
        <w:t>mix of experience</w:t>
      </w:r>
      <w:r w:rsidR="00F26ABE">
        <w:t xml:space="preserve"> through June 2015.</w:t>
      </w:r>
    </w:p>
    <w:p w:rsidR="00001FA7" w:rsidRDefault="00001FA7" w:rsidP="00001FA7">
      <w:pPr>
        <w:rPr>
          <w:b/>
        </w:rPr>
      </w:pPr>
      <w:r w:rsidRPr="00001FA7">
        <w:rPr>
          <w:b/>
        </w:rPr>
        <w:t>Renewal Analysis-</w:t>
      </w:r>
      <w:r>
        <w:rPr>
          <w:b/>
        </w:rPr>
        <w:t>Kristin</w:t>
      </w:r>
    </w:p>
    <w:p w:rsidR="00001FA7" w:rsidRDefault="00001FA7" w:rsidP="00001FA7">
      <w:pPr>
        <w:pStyle w:val="ListParagraph"/>
        <w:numPr>
          <w:ilvl w:val="1"/>
          <w:numId w:val="40"/>
        </w:numPr>
      </w:pPr>
      <w:r>
        <w:t xml:space="preserve">Renewal </w:t>
      </w:r>
      <w:r w:rsidR="00195AF8">
        <w:t>projection for medical is 10.7%, which is reasonable.</w:t>
      </w:r>
      <w:r>
        <w:tab/>
      </w:r>
    </w:p>
    <w:p w:rsidR="00001FA7" w:rsidRDefault="00001FA7" w:rsidP="00001FA7">
      <w:pPr>
        <w:pStyle w:val="ListParagraph"/>
        <w:numPr>
          <w:ilvl w:val="2"/>
          <w:numId w:val="40"/>
        </w:numPr>
      </w:pPr>
      <w:r>
        <w:t>Market trend for self-insured plans is 8%.</w:t>
      </w:r>
    </w:p>
    <w:p w:rsidR="00001FA7" w:rsidRDefault="00001FA7" w:rsidP="00014020">
      <w:pPr>
        <w:pStyle w:val="ListParagraph"/>
        <w:numPr>
          <w:ilvl w:val="2"/>
          <w:numId w:val="40"/>
        </w:numPr>
      </w:pPr>
      <w:r>
        <w:t>Projection includ</w:t>
      </w:r>
      <w:r w:rsidR="00014020">
        <w:t>es an estimated increase in IBNR</w:t>
      </w:r>
      <w:r>
        <w:t xml:space="preserve"> reserves</w:t>
      </w:r>
      <w:r w:rsidR="00AB3F11">
        <w:t>.</w:t>
      </w:r>
    </w:p>
    <w:p w:rsidR="00014020" w:rsidRDefault="00014020" w:rsidP="005757FE">
      <w:pPr>
        <w:pStyle w:val="ListParagraph"/>
        <w:numPr>
          <w:ilvl w:val="3"/>
          <w:numId w:val="41"/>
        </w:numPr>
      </w:pPr>
      <w:r>
        <w:t xml:space="preserve">3 large claims </w:t>
      </w:r>
      <w:r w:rsidR="005757FE">
        <w:t xml:space="preserve">equal </w:t>
      </w:r>
      <w:r>
        <w:t>almost $</w:t>
      </w:r>
      <w:r w:rsidR="002C26F5">
        <w:t>400k</w:t>
      </w:r>
      <w:r w:rsidR="003134B2">
        <w:t xml:space="preserve"> deducted from stop loss</w:t>
      </w:r>
      <w:bookmarkStart w:id="0" w:name="_GoBack"/>
      <w:bookmarkEnd w:id="0"/>
      <w:r>
        <w:t>.</w:t>
      </w:r>
    </w:p>
    <w:p w:rsidR="00014020" w:rsidRDefault="00014020" w:rsidP="005757FE">
      <w:pPr>
        <w:pStyle w:val="ListParagraph"/>
        <w:numPr>
          <w:ilvl w:val="3"/>
          <w:numId w:val="41"/>
        </w:numPr>
      </w:pPr>
      <w:r>
        <w:t>Add 1% claims margin for unexpected claims fluctuation.</w:t>
      </w:r>
    </w:p>
    <w:p w:rsidR="00014020" w:rsidRDefault="002827F4" w:rsidP="005757FE">
      <w:pPr>
        <w:pStyle w:val="ListParagraph"/>
        <w:numPr>
          <w:ilvl w:val="3"/>
          <w:numId w:val="41"/>
        </w:numPr>
      </w:pPr>
      <w:r>
        <w:t>IBNR</w:t>
      </w:r>
      <w:r w:rsidR="00E422BA">
        <w:t xml:space="preserve"> reserve change-</w:t>
      </w:r>
      <w:r w:rsidR="007A2223">
        <w:t>$</w:t>
      </w:r>
      <w:r w:rsidR="00014020">
        <w:t>1</w:t>
      </w:r>
      <w:r w:rsidR="002C26F5">
        <w:t>59</w:t>
      </w:r>
      <w:r w:rsidR="00014020">
        <w:t>k increase for changes in c</w:t>
      </w:r>
      <w:r w:rsidR="007A2223">
        <w:t xml:space="preserve">laims from one year to the next included </w:t>
      </w:r>
      <w:r w:rsidR="0051547D">
        <w:t xml:space="preserve">in </w:t>
      </w:r>
      <w:r w:rsidR="007A2223">
        <w:t>renewal (final IBNR will be determined in December).</w:t>
      </w:r>
    </w:p>
    <w:p w:rsidR="00766603" w:rsidRDefault="00766603" w:rsidP="005757FE">
      <w:pPr>
        <w:pStyle w:val="ListParagraph"/>
        <w:numPr>
          <w:ilvl w:val="3"/>
          <w:numId w:val="41"/>
        </w:numPr>
      </w:pPr>
      <w:r>
        <w:t xml:space="preserve">Consider plan design modifications for 2016 to reduce renewal cost and mitigate </w:t>
      </w:r>
      <w:r w:rsidR="00845F12">
        <w:t>future long-term expense increases.</w:t>
      </w:r>
    </w:p>
    <w:p w:rsidR="00014020" w:rsidRDefault="00014020" w:rsidP="00014020">
      <w:pPr>
        <w:pStyle w:val="ListParagraph"/>
        <w:numPr>
          <w:ilvl w:val="1"/>
          <w:numId w:val="40"/>
        </w:numPr>
      </w:pPr>
      <w:r>
        <w:t>Kathy asked about building the contingency reserves.</w:t>
      </w:r>
    </w:p>
    <w:p w:rsidR="00014020" w:rsidRDefault="00014020" w:rsidP="007902E5">
      <w:pPr>
        <w:pStyle w:val="ListParagraph"/>
        <w:numPr>
          <w:ilvl w:val="2"/>
          <w:numId w:val="40"/>
        </w:numPr>
      </w:pPr>
      <w:r>
        <w:t>Kristin said it wasn’t a separate line item in the calculation.</w:t>
      </w:r>
    </w:p>
    <w:p w:rsidR="00014020" w:rsidRDefault="005757FE" w:rsidP="007902E5">
      <w:pPr>
        <w:pStyle w:val="ListParagraph"/>
        <w:numPr>
          <w:ilvl w:val="2"/>
          <w:numId w:val="40"/>
        </w:numPr>
      </w:pPr>
      <w:r>
        <w:t xml:space="preserve">Most employers don’t fund their contingency reserves, but </w:t>
      </w:r>
      <w:r w:rsidR="00014020">
        <w:t xml:space="preserve">add to </w:t>
      </w:r>
      <w:r>
        <w:t xml:space="preserve">it </w:t>
      </w:r>
      <w:r w:rsidR="00014020">
        <w:t>from gains</w:t>
      </w:r>
      <w:r>
        <w:t>.</w:t>
      </w:r>
    </w:p>
    <w:p w:rsidR="005757FE" w:rsidRDefault="00F0408C" w:rsidP="005757FE">
      <w:pPr>
        <w:pStyle w:val="ListParagraph"/>
        <w:numPr>
          <w:ilvl w:val="1"/>
          <w:numId w:val="40"/>
        </w:numPr>
      </w:pPr>
      <w:r>
        <w:t>Stop Loss Expense</w:t>
      </w:r>
      <w:r w:rsidR="00A21D67">
        <w:t xml:space="preserve"> ($175k individual and 125% aggregated)</w:t>
      </w:r>
    </w:p>
    <w:p w:rsidR="00AB5CD6" w:rsidRDefault="00A21D67" w:rsidP="00AB5CD6">
      <w:pPr>
        <w:pStyle w:val="ListParagraph"/>
        <w:numPr>
          <w:ilvl w:val="2"/>
          <w:numId w:val="40"/>
        </w:numPr>
      </w:pPr>
      <w:r>
        <w:t xml:space="preserve">Preliminary stop loss </w:t>
      </w:r>
      <w:r w:rsidR="00AB11B0">
        <w:t xml:space="preserve">is </w:t>
      </w:r>
      <w:r>
        <w:t>23.4% increase</w:t>
      </w:r>
      <w:r w:rsidR="00AB5CD6">
        <w:t>.  It’s high, but not unusual.</w:t>
      </w:r>
    </w:p>
    <w:p w:rsidR="00A21D67" w:rsidRDefault="00A21D67" w:rsidP="00AB5CD6">
      <w:pPr>
        <w:pStyle w:val="ListParagraph"/>
        <w:numPr>
          <w:ilvl w:val="2"/>
          <w:numId w:val="40"/>
        </w:numPr>
      </w:pPr>
      <w:r>
        <w:lastRenderedPageBreak/>
        <w:t>Stop loss trends running at 18% in the market.</w:t>
      </w:r>
    </w:p>
    <w:p w:rsidR="00AB5CD6" w:rsidRDefault="00AB5CD6" w:rsidP="00AB5CD6">
      <w:pPr>
        <w:pStyle w:val="ListParagraph"/>
        <w:numPr>
          <w:ilvl w:val="2"/>
          <w:numId w:val="40"/>
        </w:numPr>
      </w:pPr>
      <w:r>
        <w:t>Final renewal will be underwritten with August experience.</w:t>
      </w:r>
    </w:p>
    <w:p w:rsidR="00195AF8" w:rsidRDefault="00195AF8" w:rsidP="00195AF8"/>
    <w:p w:rsidR="00A21D67" w:rsidRDefault="00A21D67" w:rsidP="00436F9B">
      <w:pPr>
        <w:pStyle w:val="ListParagraph"/>
        <w:numPr>
          <w:ilvl w:val="1"/>
          <w:numId w:val="40"/>
        </w:numPr>
      </w:pPr>
      <w:r>
        <w:t xml:space="preserve">Kristin will </w:t>
      </w:r>
      <w:r w:rsidR="00EB6619">
        <w:t xml:space="preserve">try to </w:t>
      </w:r>
      <w:r>
        <w:t>negotiate a lower trend</w:t>
      </w:r>
      <w:r w:rsidR="00833D95">
        <w:t xml:space="preserve"> </w:t>
      </w:r>
      <w:r w:rsidR="00EB6619">
        <w:t>from 23% to 15%.</w:t>
      </w:r>
    </w:p>
    <w:p w:rsidR="00AB5CD6" w:rsidRDefault="00AB5CD6" w:rsidP="00436F9B">
      <w:pPr>
        <w:pStyle w:val="ListParagraph"/>
        <w:numPr>
          <w:ilvl w:val="1"/>
          <w:numId w:val="40"/>
        </w:numPr>
      </w:pPr>
      <w:r>
        <w:t xml:space="preserve">Higher stop loss deductibles can be considered to reduce the fixed expense with </w:t>
      </w:r>
      <w:r w:rsidR="00FF256F">
        <w:t xml:space="preserve">the </w:t>
      </w:r>
      <w:r>
        <w:t>County taking more of a risk to offset costs, e.g. increase individual stop loss to $200k.</w:t>
      </w:r>
    </w:p>
    <w:p w:rsidR="00AB5CD6" w:rsidRDefault="00AB5CD6" w:rsidP="00436F9B">
      <w:pPr>
        <w:pStyle w:val="ListParagraph"/>
        <w:numPr>
          <w:ilvl w:val="1"/>
          <w:numId w:val="40"/>
        </w:numPr>
      </w:pPr>
      <w:r>
        <w:t>Francine asked if the Board should do an RFP to look at other carrier options.</w:t>
      </w:r>
    </w:p>
    <w:p w:rsidR="00AB5CD6" w:rsidRDefault="00AB5CD6" w:rsidP="00436F9B">
      <w:pPr>
        <w:pStyle w:val="ListParagraph"/>
        <w:numPr>
          <w:ilvl w:val="1"/>
          <w:numId w:val="40"/>
        </w:numPr>
      </w:pPr>
      <w:r>
        <w:t xml:space="preserve">Kathy said if the carrier changes there will no automatic claims adjudication for claims over $175k like there is with Regence (LifeMap Regence subsidiary).  </w:t>
      </w:r>
    </w:p>
    <w:p w:rsidR="00AB5CD6" w:rsidRDefault="00AB5CD6" w:rsidP="00436F9B">
      <w:pPr>
        <w:pStyle w:val="ListParagraph"/>
        <w:numPr>
          <w:ilvl w:val="2"/>
          <w:numId w:val="40"/>
        </w:numPr>
      </w:pPr>
      <w:r>
        <w:t>Without coordination the plan would have to pay large claims upfront before getting reimbu</w:t>
      </w:r>
      <w:r w:rsidR="00436F9B">
        <w:t>rsed from the stop loss carrier or pay an extra coordination fee.</w:t>
      </w:r>
    </w:p>
    <w:p w:rsidR="00436F9B" w:rsidRDefault="00436F9B" w:rsidP="00436F9B">
      <w:pPr>
        <w:pStyle w:val="ListParagraph"/>
        <w:numPr>
          <w:ilvl w:val="2"/>
          <w:numId w:val="40"/>
        </w:numPr>
      </w:pPr>
      <w:r>
        <w:t xml:space="preserve">New carrier would have concerns about two </w:t>
      </w:r>
      <w:r w:rsidR="00EB6619">
        <w:t>identified stop loss risks.</w:t>
      </w:r>
    </w:p>
    <w:p w:rsidR="00436F9B" w:rsidRDefault="00436F9B" w:rsidP="00436F9B">
      <w:pPr>
        <w:pStyle w:val="ListParagraph"/>
        <w:numPr>
          <w:ilvl w:val="0"/>
          <w:numId w:val="42"/>
        </w:numPr>
      </w:pPr>
      <w:r>
        <w:t>End stage heart transplant</w:t>
      </w:r>
    </w:p>
    <w:p w:rsidR="00436F9B" w:rsidRDefault="00436F9B" w:rsidP="00436F9B">
      <w:pPr>
        <w:pStyle w:val="ListParagraph"/>
        <w:numPr>
          <w:ilvl w:val="0"/>
          <w:numId w:val="42"/>
        </w:numPr>
      </w:pPr>
      <w:r>
        <w:t>Chronic Leukemia</w:t>
      </w:r>
    </w:p>
    <w:p w:rsidR="00436F9B" w:rsidRDefault="00436F9B" w:rsidP="00436F9B">
      <w:pPr>
        <w:pStyle w:val="ListParagraph"/>
        <w:numPr>
          <w:ilvl w:val="2"/>
          <w:numId w:val="40"/>
        </w:numPr>
      </w:pPr>
      <w:r>
        <w:t xml:space="preserve">New carrier </w:t>
      </w:r>
      <w:r w:rsidR="007F1925">
        <w:t>can use</w:t>
      </w:r>
      <w:r>
        <w:t xml:space="preserve"> lasering to apply different deductibles for members with high risk conditions (e.g. $250k instead of $175k deductible for individual stop loss).</w:t>
      </w:r>
    </w:p>
    <w:p w:rsidR="00833D95" w:rsidRDefault="00833D95" w:rsidP="00436F9B">
      <w:pPr>
        <w:pStyle w:val="ListParagraph"/>
        <w:numPr>
          <w:ilvl w:val="2"/>
          <w:numId w:val="40"/>
        </w:numPr>
      </w:pPr>
      <w:r>
        <w:t>Stop loss is higher now because of ACA due to the elimination of annual and lifetime dollar limits.</w:t>
      </w:r>
    </w:p>
    <w:p w:rsidR="00EB6619" w:rsidRDefault="002026BE" w:rsidP="00436F9B">
      <w:pPr>
        <w:pStyle w:val="ListParagraph"/>
        <w:numPr>
          <w:ilvl w:val="2"/>
          <w:numId w:val="40"/>
        </w:numPr>
      </w:pPr>
      <w:r>
        <w:t xml:space="preserve">Mike said an RFP isn’t </w:t>
      </w:r>
      <w:r w:rsidR="00EB6619">
        <w:t>going to make a significant difference with ACA</w:t>
      </w:r>
      <w:r>
        <w:t>’s elimination of limits</w:t>
      </w:r>
      <w:r w:rsidR="00EB6619">
        <w:t>.</w:t>
      </w:r>
    </w:p>
    <w:p w:rsidR="00EB6619" w:rsidRDefault="00EB6619" w:rsidP="00436F9B">
      <w:pPr>
        <w:pStyle w:val="ListParagraph"/>
        <w:numPr>
          <w:ilvl w:val="2"/>
          <w:numId w:val="40"/>
        </w:numPr>
      </w:pPr>
      <w:r>
        <w:t xml:space="preserve">Mercer’s message </w:t>
      </w:r>
      <w:r w:rsidR="00AE0A2A">
        <w:t xml:space="preserve">to the carrier </w:t>
      </w:r>
      <w:r>
        <w:t>is the County needs a reduction or they may go out to market.</w:t>
      </w:r>
    </w:p>
    <w:p w:rsidR="00FC6AD3" w:rsidRDefault="00FC6AD3" w:rsidP="00FC6AD3">
      <w:pPr>
        <w:pStyle w:val="ListParagraph"/>
        <w:numPr>
          <w:ilvl w:val="1"/>
          <w:numId w:val="40"/>
        </w:numPr>
      </w:pPr>
      <w:r>
        <w:t>2018 Excise Tax-plan design changes are not included.</w:t>
      </w:r>
    </w:p>
    <w:p w:rsidR="00FC6AD3" w:rsidRDefault="00FC6AD3" w:rsidP="00FC6AD3">
      <w:pPr>
        <w:pStyle w:val="ListParagraph"/>
        <w:numPr>
          <w:ilvl w:val="2"/>
          <w:numId w:val="40"/>
        </w:numPr>
      </w:pPr>
      <w:r>
        <w:t>Built in trend is</w:t>
      </w:r>
      <w:r w:rsidR="00642FF6">
        <w:t xml:space="preserve"> </w:t>
      </w:r>
      <w:r w:rsidR="002A7A83">
        <w:t>7.5% until 2018</w:t>
      </w:r>
      <w:r>
        <w:t xml:space="preserve"> then it’s 6%.</w:t>
      </w:r>
    </w:p>
    <w:p w:rsidR="00FC6AD3" w:rsidRDefault="00FC6AD3" w:rsidP="00FC6AD3">
      <w:pPr>
        <w:pStyle w:val="ListParagraph"/>
        <w:numPr>
          <w:ilvl w:val="2"/>
          <w:numId w:val="40"/>
        </w:numPr>
      </w:pPr>
      <w:r>
        <w:t xml:space="preserve">Regence </w:t>
      </w:r>
      <w:r w:rsidR="00355130">
        <w:t xml:space="preserve">trend </w:t>
      </w:r>
      <w:r>
        <w:t>is 10.7% and Kaiser</w:t>
      </w:r>
      <w:r w:rsidR="002A7A83">
        <w:t>’s trend</w:t>
      </w:r>
      <w:r>
        <w:t xml:space="preserve"> is estimated to hit the renewal cap at 15%</w:t>
      </w:r>
      <w:r w:rsidR="00D1593C">
        <w:t>.</w:t>
      </w:r>
    </w:p>
    <w:p w:rsidR="00FC6AD3" w:rsidRDefault="00355130" w:rsidP="00FC6AD3">
      <w:pPr>
        <w:pStyle w:val="ListParagraph"/>
        <w:numPr>
          <w:ilvl w:val="2"/>
          <w:numId w:val="40"/>
        </w:numPr>
      </w:pPr>
      <w:r>
        <w:t>Renewals impact rates and ACA excise tax.</w:t>
      </w:r>
    </w:p>
    <w:p w:rsidR="00355130" w:rsidRDefault="00355130" w:rsidP="00FC6AD3">
      <w:pPr>
        <w:pStyle w:val="ListParagraph"/>
        <w:numPr>
          <w:ilvl w:val="2"/>
          <w:numId w:val="40"/>
        </w:numPr>
      </w:pPr>
      <w:r>
        <w:t>Coalition CBA-County will not pay excise tax.</w:t>
      </w:r>
    </w:p>
    <w:p w:rsidR="00236B14" w:rsidRDefault="00236B14" w:rsidP="00236B14">
      <w:r w:rsidRPr="00236B14">
        <w:rPr>
          <w:b/>
        </w:rPr>
        <w:t>Plan Review-Kristin</w:t>
      </w:r>
    </w:p>
    <w:p w:rsidR="00E03573" w:rsidRDefault="00E03573" w:rsidP="00195AF8">
      <w:pPr>
        <w:pStyle w:val="ListParagraph"/>
        <w:numPr>
          <w:ilvl w:val="1"/>
          <w:numId w:val="40"/>
        </w:numPr>
      </w:pPr>
      <w:r>
        <w:t>Dental experience is based on 18 months of trend.</w:t>
      </w:r>
    </w:p>
    <w:p w:rsidR="00195AF8" w:rsidRDefault="00195AF8" w:rsidP="00195AF8">
      <w:pPr>
        <w:pStyle w:val="ListParagraph"/>
        <w:numPr>
          <w:ilvl w:val="1"/>
          <w:numId w:val="40"/>
        </w:numPr>
      </w:pPr>
      <w:r>
        <w:t>Plan Performance-Gross Plan Costs (fixed</w:t>
      </w:r>
      <w:r w:rsidR="00E03573">
        <w:t xml:space="preserve"> costs</w:t>
      </w:r>
      <w:r>
        <w:t xml:space="preserve"> and adjusted paid claims) vs Gross Budget (rates x enrollment) is 9</w:t>
      </w:r>
      <w:r w:rsidR="00E03573">
        <w:t>2</w:t>
      </w:r>
      <w:r>
        <w:t>.3% (loss ratio)</w:t>
      </w:r>
      <w:r w:rsidR="00236B14">
        <w:t>, lots of room in margin.</w:t>
      </w:r>
    </w:p>
    <w:p w:rsidR="00236B14" w:rsidRDefault="00236B14" w:rsidP="00236B14">
      <w:pPr>
        <w:pStyle w:val="ListParagraph"/>
        <w:ind w:left="1440"/>
      </w:pPr>
    </w:p>
    <w:p w:rsidR="00236B14" w:rsidRPr="00236B14" w:rsidRDefault="00236B14" w:rsidP="00236B14">
      <w:pPr>
        <w:rPr>
          <w:b/>
        </w:rPr>
      </w:pPr>
      <w:r w:rsidRPr="00236B14">
        <w:rPr>
          <w:b/>
        </w:rPr>
        <w:t>Renewal Analysis-Kristin</w:t>
      </w:r>
    </w:p>
    <w:p w:rsidR="00E44C6B" w:rsidRDefault="00E44C6B" w:rsidP="00E44C6B">
      <w:pPr>
        <w:pStyle w:val="ListParagraph"/>
        <w:numPr>
          <w:ilvl w:val="1"/>
          <w:numId w:val="40"/>
        </w:numPr>
      </w:pPr>
      <w:r>
        <w:t>Renewal projection for dental is (2.3%).</w:t>
      </w:r>
    </w:p>
    <w:p w:rsidR="00F0408C" w:rsidRDefault="00E44C6B" w:rsidP="0044733F">
      <w:pPr>
        <w:pStyle w:val="ListParagraph"/>
        <w:numPr>
          <w:ilvl w:val="1"/>
          <w:numId w:val="40"/>
        </w:numPr>
      </w:pPr>
      <w:r>
        <w:t>Mercer recommends holding the current rate at 0% impact.</w:t>
      </w:r>
    </w:p>
    <w:p w:rsidR="00E44C6B" w:rsidRDefault="00E44C6B" w:rsidP="00E44C6B">
      <w:pPr>
        <w:pStyle w:val="ListParagraph"/>
        <w:numPr>
          <w:ilvl w:val="3"/>
          <w:numId w:val="43"/>
        </w:numPr>
      </w:pPr>
      <w:r>
        <w:t>Market trend 5%</w:t>
      </w:r>
      <w:r w:rsidR="00875251">
        <w:t>.</w:t>
      </w:r>
    </w:p>
    <w:p w:rsidR="00E44C6B" w:rsidRDefault="00E44C6B" w:rsidP="00E44C6B">
      <w:pPr>
        <w:pStyle w:val="ListParagraph"/>
        <w:numPr>
          <w:ilvl w:val="3"/>
          <w:numId w:val="43"/>
        </w:numPr>
      </w:pPr>
      <w:r>
        <w:t>Add 1% claims margin for unexpected claims fluctuation.</w:t>
      </w:r>
    </w:p>
    <w:p w:rsidR="00E44C6B" w:rsidRDefault="00E44C6B" w:rsidP="00E44C6B">
      <w:pPr>
        <w:pStyle w:val="ListParagraph"/>
        <w:numPr>
          <w:ilvl w:val="3"/>
          <w:numId w:val="43"/>
        </w:numPr>
      </w:pPr>
      <w:r>
        <w:t xml:space="preserve">Decrease in administrative fee: from $10.50 to $7.75 (26.2%) decrease </w:t>
      </w:r>
      <w:r w:rsidR="00FE2DE8">
        <w:t xml:space="preserve">is </w:t>
      </w:r>
      <w:r>
        <w:t>from RFP.</w:t>
      </w:r>
    </w:p>
    <w:p w:rsidR="00A93C77" w:rsidRDefault="00E422BA" w:rsidP="006F0638">
      <w:pPr>
        <w:pStyle w:val="ListParagraph"/>
        <w:numPr>
          <w:ilvl w:val="3"/>
          <w:numId w:val="43"/>
        </w:numPr>
      </w:pPr>
      <w:r>
        <w:lastRenderedPageBreak/>
        <w:t>IBNR reserve change -</w:t>
      </w:r>
      <w:r w:rsidR="002827F4">
        <w:t>increase $3,000 included in renewal.</w:t>
      </w:r>
    </w:p>
    <w:p w:rsidR="003300C6" w:rsidRDefault="003300C6" w:rsidP="006F0638">
      <w:pPr>
        <w:pStyle w:val="ListParagraph"/>
        <w:numPr>
          <w:ilvl w:val="3"/>
          <w:numId w:val="43"/>
        </w:numPr>
      </w:pPr>
      <w:r>
        <w:t>No plan design changes required for 2016.</w:t>
      </w:r>
    </w:p>
    <w:p w:rsidR="00686106" w:rsidRDefault="00686106" w:rsidP="00686106"/>
    <w:p w:rsidR="002827F4" w:rsidRDefault="00FC6AD3" w:rsidP="006F0638">
      <w:pPr>
        <w:rPr>
          <w:b/>
        </w:rPr>
      </w:pPr>
      <w:r w:rsidRPr="00FC6AD3">
        <w:rPr>
          <w:b/>
        </w:rPr>
        <w:t>Rate Discussion-All</w:t>
      </w:r>
    </w:p>
    <w:p w:rsidR="00FC6AD3" w:rsidRDefault="005D5C70" w:rsidP="005D5C70">
      <w:pPr>
        <w:pStyle w:val="ListParagraph"/>
        <w:numPr>
          <w:ilvl w:val="1"/>
          <w:numId w:val="40"/>
        </w:numPr>
      </w:pPr>
      <w:r>
        <w:t>Chris wanted to know how long it would take to get feedback about the stop loss renewal.</w:t>
      </w:r>
    </w:p>
    <w:p w:rsidR="005D5C70" w:rsidRDefault="005D5C70" w:rsidP="00873CAA">
      <w:pPr>
        <w:pStyle w:val="ListParagraph"/>
        <w:numPr>
          <w:ilvl w:val="3"/>
          <w:numId w:val="43"/>
        </w:numPr>
      </w:pPr>
      <w:r>
        <w:t xml:space="preserve">They won’t finalize </w:t>
      </w:r>
      <w:r w:rsidR="00854466">
        <w:t xml:space="preserve">rates </w:t>
      </w:r>
      <w:r>
        <w:t>until they get the August experience.</w:t>
      </w:r>
    </w:p>
    <w:p w:rsidR="005D5C70" w:rsidRDefault="00854466" w:rsidP="00873CAA">
      <w:pPr>
        <w:pStyle w:val="ListParagraph"/>
        <w:numPr>
          <w:ilvl w:val="3"/>
          <w:numId w:val="43"/>
        </w:numPr>
      </w:pPr>
      <w:r>
        <w:t>We n</w:t>
      </w:r>
      <w:r w:rsidR="005D5C70">
        <w:t xml:space="preserve">eed to give them </w:t>
      </w:r>
      <w:r>
        <w:t>at least through September to re-rate.</w:t>
      </w:r>
    </w:p>
    <w:p w:rsidR="00854466" w:rsidRDefault="00854466" w:rsidP="00854466">
      <w:pPr>
        <w:pStyle w:val="ListParagraph"/>
        <w:numPr>
          <w:ilvl w:val="1"/>
          <w:numId w:val="40"/>
        </w:numPr>
      </w:pPr>
      <w:r>
        <w:t>Reduction could result in .5% savings.</w:t>
      </w:r>
    </w:p>
    <w:p w:rsidR="00854466" w:rsidRDefault="00854466" w:rsidP="00854466">
      <w:pPr>
        <w:pStyle w:val="ListParagraph"/>
        <w:numPr>
          <w:ilvl w:val="1"/>
          <w:numId w:val="40"/>
        </w:numPr>
      </w:pPr>
      <w:r>
        <w:t>Kathy said the stop loss renewal should</w:t>
      </w:r>
      <w:r w:rsidR="00A070A2">
        <w:t>n’t</w:t>
      </w:r>
      <w:r>
        <w:t xml:space="preserve"> impact the Board’s decision to accept the rates.</w:t>
      </w:r>
    </w:p>
    <w:p w:rsidR="00A070A2" w:rsidRDefault="00A070A2" w:rsidP="00854466">
      <w:pPr>
        <w:pStyle w:val="ListParagraph"/>
        <w:numPr>
          <w:ilvl w:val="1"/>
          <w:numId w:val="40"/>
        </w:numPr>
      </w:pPr>
      <w:r>
        <w:t>RFP Administration Fees (3 year rate guarantees.)</w:t>
      </w:r>
    </w:p>
    <w:p w:rsidR="00A070A2" w:rsidRDefault="00A070A2" w:rsidP="00A070A2">
      <w:pPr>
        <w:pStyle w:val="ListParagraph"/>
        <w:numPr>
          <w:ilvl w:val="3"/>
          <w:numId w:val="43"/>
        </w:numPr>
      </w:pPr>
      <w:r>
        <w:t>Delta Dental-</w:t>
      </w:r>
      <w:r w:rsidR="00B162E3">
        <w:t>2</w:t>
      </w:r>
      <w:r>
        <w:t>5% reduction</w:t>
      </w:r>
    </w:p>
    <w:p w:rsidR="00A070A2" w:rsidRDefault="00A070A2" w:rsidP="00A070A2">
      <w:pPr>
        <w:pStyle w:val="ListParagraph"/>
        <w:numPr>
          <w:ilvl w:val="3"/>
          <w:numId w:val="43"/>
        </w:numPr>
      </w:pPr>
      <w:r>
        <w:t>Regence-8% reduction.</w:t>
      </w:r>
    </w:p>
    <w:p w:rsidR="00250EF8" w:rsidRDefault="00250EF8" w:rsidP="00250EF8">
      <w:pPr>
        <w:pStyle w:val="ListParagraph"/>
        <w:numPr>
          <w:ilvl w:val="1"/>
          <w:numId w:val="40"/>
        </w:numPr>
      </w:pPr>
      <w:r>
        <w:t>Francine Reis moved to accept the 10.7% medical renewal based on the current plan design even if the stop loss rate is reduced.  Extra savings can fund the reserves.</w:t>
      </w:r>
    </w:p>
    <w:p w:rsidR="00250EF8" w:rsidRDefault="00250EF8" w:rsidP="00250EF8">
      <w:pPr>
        <w:pStyle w:val="ListParagraph"/>
        <w:numPr>
          <w:ilvl w:val="1"/>
          <w:numId w:val="40"/>
        </w:numPr>
      </w:pPr>
      <w:r>
        <w:t xml:space="preserve">Chris Horne seconded the motion, </w:t>
      </w:r>
      <w:r w:rsidRPr="00250EF8">
        <w:t>motion passed unanimously</w:t>
      </w:r>
      <w:r>
        <w:t>.</w:t>
      </w:r>
    </w:p>
    <w:p w:rsidR="00976A55" w:rsidRDefault="00976A55" w:rsidP="00250EF8">
      <w:pPr>
        <w:pStyle w:val="ListParagraph"/>
        <w:numPr>
          <w:ilvl w:val="1"/>
          <w:numId w:val="40"/>
        </w:numPr>
      </w:pPr>
      <w:r>
        <w:t>Chris Horne moved to approve the 23% stop loss rate increase unless Mercer can negotiate a lower rate.</w:t>
      </w:r>
    </w:p>
    <w:p w:rsidR="00DF3EDE" w:rsidRDefault="00976A55" w:rsidP="00250EF8">
      <w:pPr>
        <w:pStyle w:val="ListParagraph"/>
        <w:numPr>
          <w:ilvl w:val="1"/>
          <w:numId w:val="40"/>
        </w:numPr>
      </w:pPr>
      <w:r>
        <w:t xml:space="preserve">Francine Reis seconded the motion, motion passed unanimously. </w:t>
      </w:r>
    </w:p>
    <w:p w:rsidR="00976A55" w:rsidRDefault="00DF3EDE" w:rsidP="00250EF8">
      <w:pPr>
        <w:pStyle w:val="ListParagraph"/>
        <w:numPr>
          <w:ilvl w:val="1"/>
          <w:numId w:val="40"/>
        </w:numPr>
      </w:pPr>
      <w:r>
        <w:t>Francine Reis moved to hold the Delta Dental rates at 0% instead of taking a (2.3%) rate reduction.  Any excess funds will be added to the reserves.</w:t>
      </w:r>
    </w:p>
    <w:p w:rsidR="00DF3EDE" w:rsidRDefault="00DF3EDE" w:rsidP="00250EF8">
      <w:pPr>
        <w:pStyle w:val="ListParagraph"/>
        <w:numPr>
          <w:ilvl w:val="1"/>
          <w:numId w:val="40"/>
        </w:numPr>
      </w:pPr>
      <w:r>
        <w:t xml:space="preserve">John Payne seconded the motion, motion passed unanimously.  </w:t>
      </w:r>
    </w:p>
    <w:p w:rsidR="002E1D67" w:rsidRDefault="002E1D67" w:rsidP="00250EF8">
      <w:pPr>
        <w:pStyle w:val="ListParagraph"/>
        <w:numPr>
          <w:ilvl w:val="1"/>
          <w:numId w:val="40"/>
        </w:numPr>
      </w:pPr>
      <w:r>
        <w:t>Kathy will present the self-insurance renewals to the health care committee based on the current plan design.</w:t>
      </w:r>
    </w:p>
    <w:p w:rsidR="002827F4" w:rsidRDefault="00C0425E" w:rsidP="006F0638">
      <w:pPr>
        <w:pStyle w:val="ListParagraph"/>
        <w:numPr>
          <w:ilvl w:val="1"/>
          <w:numId w:val="40"/>
        </w:numPr>
      </w:pPr>
      <w:r>
        <w:t>She will present the coalition budget of 2% then a 50-50% split of cost sharing.</w:t>
      </w:r>
    </w:p>
    <w:p w:rsidR="002827F4" w:rsidRDefault="002827F4" w:rsidP="006F0638"/>
    <w:p w:rsidR="00875251" w:rsidRDefault="00875251" w:rsidP="00875251">
      <w:pPr>
        <w:rPr>
          <w:b/>
        </w:rPr>
      </w:pPr>
      <w:r w:rsidRPr="0031047E">
        <w:rPr>
          <w:b/>
        </w:rPr>
        <w:t>IBNR-Kristin</w:t>
      </w:r>
    </w:p>
    <w:p w:rsidR="00875251" w:rsidRDefault="00875251" w:rsidP="00875251">
      <w:pPr>
        <w:pStyle w:val="ListParagraph"/>
        <w:numPr>
          <w:ilvl w:val="1"/>
          <w:numId w:val="40"/>
        </w:numPr>
      </w:pPr>
      <w:r>
        <w:t>Reserve balances as of June 30, 2015</w:t>
      </w:r>
    </w:p>
    <w:p w:rsidR="00875251" w:rsidRDefault="00875251" w:rsidP="00875251">
      <w:pPr>
        <w:pStyle w:val="ListParagraph"/>
        <w:numPr>
          <w:ilvl w:val="3"/>
          <w:numId w:val="43"/>
        </w:numPr>
      </w:pPr>
      <w:r>
        <w:t>Medical $2.8 M</w:t>
      </w:r>
    </w:p>
    <w:p w:rsidR="00875251" w:rsidRDefault="00875251" w:rsidP="00875251">
      <w:pPr>
        <w:pStyle w:val="ListParagraph"/>
        <w:numPr>
          <w:ilvl w:val="3"/>
          <w:numId w:val="43"/>
        </w:numPr>
      </w:pPr>
      <w:r>
        <w:t>Dental 184.6k</w:t>
      </w:r>
    </w:p>
    <w:p w:rsidR="00875251" w:rsidRDefault="00875251" w:rsidP="00875251">
      <w:pPr>
        <w:pStyle w:val="ListParagraph"/>
        <w:numPr>
          <w:ilvl w:val="3"/>
          <w:numId w:val="43"/>
        </w:numPr>
      </w:pPr>
      <w:r>
        <w:t>Fully funded for IBNR (aka INBP).</w:t>
      </w:r>
    </w:p>
    <w:p w:rsidR="00875251" w:rsidRDefault="00875251" w:rsidP="006F0638">
      <w:pPr>
        <w:pStyle w:val="ListParagraph"/>
        <w:numPr>
          <w:ilvl w:val="3"/>
          <w:numId w:val="43"/>
        </w:numPr>
      </w:pPr>
      <w:r>
        <w:t>80% funded for the required 2015 combined reserves (includes $350 deposit at Regence).</w:t>
      </w:r>
    </w:p>
    <w:p w:rsidR="00875251" w:rsidRDefault="00875251" w:rsidP="006F0638">
      <w:pPr>
        <w:pStyle w:val="ListParagraph"/>
        <w:numPr>
          <w:ilvl w:val="3"/>
          <w:numId w:val="43"/>
        </w:numPr>
      </w:pPr>
      <w:r>
        <w:t>State</w:t>
      </w:r>
      <w:r w:rsidR="00C32CD7">
        <w:t>d she is</w:t>
      </w:r>
      <w:r>
        <w:t xml:space="preserve"> more concerned about IBNR than contingency fund.</w:t>
      </w:r>
    </w:p>
    <w:p w:rsidR="00013677" w:rsidRDefault="00013677" w:rsidP="00013677">
      <w:r>
        <w:br w:type="page"/>
      </w:r>
    </w:p>
    <w:p w:rsidR="00013677" w:rsidRDefault="00013677" w:rsidP="00013677"/>
    <w:p w:rsidR="00875251" w:rsidRDefault="00B17D9C" w:rsidP="00875251">
      <w:pPr>
        <w:rPr>
          <w:b/>
        </w:rPr>
      </w:pPr>
      <w:r w:rsidRPr="00B17D9C">
        <w:rPr>
          <w:b/>
        </w:rPr>
        <w:t>Self-Insurance Fund-Kathy</w:t>
      </w:r>
    </w:p>
    <w:p w:rsidR="00B17D9C" w:rsidRDefault="00B17D9C" w:rsidP="00B17D9C">
      <w:pPr>
        <w:pStyle w:val="ListParagraph"/>
        <w:numPr>
          <w:ilvl w:val="1"/>
          <w:numId w:val="40"/>
        </w:numPr>
      </w:pPr>
      <w:r>
        <w:t>Spreadsheet tracks revenues and expenses and shows how we are measuring against the budget, e.g. didn’t collect enough money in May.</w:t>
      </w:r>
    </w:p>
    <w:p w:rsidR="00E970D0" w:rsidRDefault="00C91403" w:rsidP="00B17D9C">
      <w:pPr>
        <w:pStyle w:val="ListParagraph"/>
        <w:numPr>
          <w:ilvl w:val="1"/>
          <w:numId w:val="40"/>
        </w:numPr>
      </w:pPr>
      <w:r>
        <w:t>Line items: i</w:t>
      </w:r>
      <w:r w:rsidR="00E970D0">
        <w:t>nvestment interest and unrealized gain/loss on investments.</w:t>
      </w:r>
    </w:p>
    <w:p w:rsidR="00E970D0" w:rsidRDefault="00E970D0" w:rsidP="001F5577">
      <w:pPr>
        <w:pStyle w:val="ListParagraph"/>
        <w:numPr>
          <w:ilvl w:val="3"/>
          <w:numId w:val="43"/>
        </w:numPr>
      </w:pPr>
      <w:r>
        <w:t>Fund can keep the interest, but not the unrealized gains/losses.</w:t>
      </w:r>
    </w:p>
    <w:p w:rsidR="00E970D0" w:rsidRDefault="00E970D0" w:rsidP="001F5577">
      <w:pPr>
        <w:pStyle w:val="ListParagraph"/>
        <w:numPr>
          <w:ilvl w:val="3"/>
          <w:numId w:val="43"/>
        </w:numPr>
      </w:pPr>
      <w:r>
        <w:t>Adriana said these are opportunity costs.  They are not real dollars for this purpose.</w:t>
      </w:r>
    </w:p>
    <w:p w:rsidR="00E970D0" w:rsidRDefault="00E970D0" w:rsidP="00E970D0">
      <w:pPr>
        <w:pStyle w:val="ListParagraph"/>
        <w:ind w:left="1440"/>
      </w:pPr>
    </w:p>
    <w:p w:rsidR="00B17D9C" w:rsidRDefault="00C91403" w:rsidP="00875251">
      <w:pPr>
        <w:rPr>
          <w:b/>
        </w:rPr>
      </w:pPr>
      <w:r w:rsidRPr="00C91403">
        <w:rPr>
          <w:b/>
        </w:rPr>
        <w:t xml:space="preserve">S/I Fund Account Coding-Kathy </w:t>
      </w:r>
    </w:p>
    <w:p w:rsidR="00013677" w:rsidRDefault="00C91403" w:rsidP="007577A6">
      <w:pPr>
        <w:pStyle w:val="ListParagraph"/>
        <w:numPr>
          <w:ilvl w:val="0"/>
          <w:numId w:val="44"/>
        </w:numPr>
      </w:pPr>
      <w:r>
        <w:t xml:space="preserve">There is an issue with </w:t>
      </w:r>
      <w:r w:rsidR="00013677">
        <w:t>how we assign object codes in different operating budgets.</w:t>
      </w:r>
    </w:p>
    <w:p w:rsidR="00C91403" w:rsidRDefault="00013677" w:rsidP="007577A6">
      <w:pPr>
        <w:pStyle w:val="ListParagraph"/>
        <w:numPr>
          <w:ilvl w:val="0"/>
          <w:numId w:val="44"/>
        </w:numPr>
      </w:pPr>
      <w:r>
        <w:t xml:space="preserve">We are </w:t>
      </w:r>
      <w:r w:rsidR="00C91403">
        <w:t xml:space="preserve">using the same object code for both benefit expensing and claims payment.  </w:t>
      </w:r>
    </w:p>
    <w:p w:rsidR="003C1890" w:rsidRDefault="003C1890" w:rsidP="007577A6">
      <w:pPr>
        <w:pStyle w:val="ListParagraph"/>
        <w:numPr>
          <w:ilvl w:val="0"/>
          <w:numId w:val="44"/>
        </w:numPr>
      </w:pPr>
      <w:r>
        <w:t xml:space="preserve">A different object code should be </w:t>
      </w:r>
      <w:r w:rsidR="007577A6">
        <w:t>used to prevent double counting as c</w:t>
      </w:r>
      <w:r>
        <w:t>laims payment</w:t>
      </w:r>
      <w:r w:rsidR="007577A6">
        <w:t>s</w:t>
      </w:r>
      <w:r>
        <w:t xml:space="preserve"> are not </w:t>
      </w:r>
      <w:r w:rsidR="007577A6">
        <w:t>a payroll cost.</w:t>
      </w:r>
    </w:p>
    <w:p w:rsidR="00013677" w:rsidRDefault="00013677" w:rsidP="00013677">
      <w:pPr>
        <w:pStyle w:val="ListParagraph"/>
      </w:pPr>
    </w:p>
    <w:p w:rsidR="00875251" w:rsidRDefault="00013677" w:rsidP="006F0638">
      <w:pPr>
        <w:rPr>
          <w:b/>
        </w:rPr>
      </w:pPr>
      <w:r>
        <w:rPr>
          <w:b/>
        </w:rPr>
        <w:t>Funding Reserves-Kathy and John</w:t>
      </w:r>
    </w:p>
    <w:p w:rsidR="00013677" w:rsidRDefault="00013677" w:rsidP="00013677">
      <w:pPr>
        <w:pStyle w:val="ListParagraph"/>
        <w:numPr>
          <w:ilvl w:val="0"/>
          <w:numId w:val="33"/>
        </w:numPr>
      </w:pPr>
      <w:r>
        <w:t>Mark and John were to move funds into IBNP (reserve account) in June.</w:t>
      </w:r>
    </w:p>
    <w:p w:rsidR="00013677" w:rsidRDefault="00013677" w:rsidP="00013677">
      <w:pPr>
        <w:pStyle w:val="ListParagraph"/>
        <w:numPr>
          <w:ilvl w:val="0"/>
          <w:numId w:val="33"/>
        </w:numPr>
      </w:pPr>
      <w:r>
        <w:t>Transaction did not occur.</w:t>
      </w:r>
    </w:p>
    <w:p w:rsidR="00013677" w:rsidRDefault="00013677" w:rsidP="00013677">
      <w:pPr>
        <w:pStyle w:val="ListParagraph"/>
        <w:numPr>
          <w:ilvl w:val="0"/>
          <w:numId w:val="33"/>
        </w:numPr>
      </w:pPr>
      <w:r>
        <w:t>Kathy discussed with Mark Gassaway after the meeting.  Mark to have the Auditior’s Office create entry for the transaction to move fund balance into the IBNP subaccount.</w:t>
      </w:r>
    </w:p>
    <w:p w:rsidR="00013677" w:rsidRPr="00013677" w:rsidRDefault="00013677" w:rsidP="006F0638">
      <w:pPr>
        <w:rPr>
          <w:b/>
        </w:rPr>
      </w:pPr>
    </w:p>
    <w:p w:rsidR="00FF28C2" w:rsidRDefault="004F66B8" w:rsidP="006F0638">
      <w:pPr>
        <w:rPr>
          <w:b/>
        </w:rPr>
      </w:pPr>
      <w:r w:rsidRPr="004F66B8">
        <w:rPr>
          <w:b/>
        </w:rPr>
        <w:t>Federal Fees (PCORI)-Kathy</w:t>
      </w:r>
    </w:p>
    <w:p w:rsidR="00FE1589" w:rsidRDefault="00FE1589" w:rsidP="00FE1589">
      <w:pPr>
        <w:pStyle w:val="ListParagraph"/>
        <w:numPr>
          <w:ilvl w:val="0"/>
          <w:numId w:val="44"/>
        </w:numPr>
      </w:pPr>
      <w:r>
        <w:t xml:space="preserve">Kathy will charge the </w:t>
      </w:r>
      <w:r w:rsidRPr="00FE1589">
        <w:t>$3,398</w:t>
      </w:r>
      <w:r>
        <w:t xml:space="preserve"> fee paid against the HR budget.  The fee cannot be paid from plan assets.</w:t>
      </w:r>
    </w:p>
    <w:p w:rsidR="00FE1589" w:rsidRDefault="00FE1589" w:rsidP="00FE1589">
      <w:pPr>
        <w:pStyle w:val="ListParagraph"/>
        <w:numPr>
          <w:ilvl w:val="0"/>
          <w:numId w:val="44"/>
        </w:numPr>
      </w:pPr>
      <w:r>
        <w:t>She is estimating the cost for next year to be $5,000.</w:t>
      </w:r>
    </w:p>
    <w:p w:rsidR="00FE1589" w:rsidRDefault="00FE1589" w:rsidP="00FE1589">
      <w:pPr>
        <w:pStyle w:val="ListParagraph"/>
        <w:numPr>
          <w:ilvl w:val="0"/>
          <w:numId w:val="44"/>
        </w:numPr>
      </w:pPr>
      <w:r>
        <w:t>She will ask for a supplement to the budget.</w:t>
      </w:r>
    </w:p>
    <w:p w:rsidR="00FE1589" w:rsidRDefault="00FE1589" w:rsidP="00FE1589">
      <w:pPr>
        <w:pStyle w:val="ListParagraph"/>
        <w:numPr>
          <w:ilvl w:val="0"/>
          <w:numId w:val="44"/>
        </w:numPr>
      </w:pPr>
      <w:r>
        <w:t>Fees will sunset the end of 2019.</w:t>
      </w:r>
    </w:p>
    <w:p w:rsidR="00FE1589" w:rsidRPr="00FE1589" w:rsidRDefault="00FE1589" w:rsidP="00715A1E">
      <w:pPr>
        <w:pStyle w:val="ListParagraph"/>
      </w:pPr>
    </w:p>
    <w:p w:rsidR="002827F4" w:rsidRDefault="00FE1589" w:rsidP="006F0638">
      <w:pPr>
        <w:rPr>
          <w:b/>
        </w:rPr>
      </w:pPr>
      <w:r w:rsidRPr="00FE1589">
        <w:rPr>
          <w:b/>
        </w:rPr>
        <w:t>Governing Board</w:t>
      </w:r>
      <w:r>
        <w:rPr>
          <w:b/>
        </w:rPr>
        <w:t>-John</w:t>
      </w:r>
    </w:p>
    <w:p w:rsidR="00FE1589" w:rsidRDefault="00FE1589" w:rsidP="008C2B1B">
      <w:pPr>
        <w:pStyle w:val="ListParagraph"/>
        <w:numPr>
          <w:ilvl w:val="0"/>
          <w:numId w:val="45"/>
        </w:numPr>
      </w:pPr>
      <w:r>
        <w:t>John recommends the Board change membership by office not position</w:t>
      </w:r>
      <w:r w:rsidR="008C2B1B">
        <w:t>, e.g. appoint Deputy Treasurer Designee</w:t>
      </w:r>
      <w:r>
        <w:t>.</w:t>
      </w:r>
    </w:p>
    <w:p w:rsidR="008C2B1B" w:rsidRDefault="008C2B1B" w:rsidP="006F0638">
      <w:pPr>
        <w:pStyle w:val="ListParagraph"/>
        <w:numPr>
          <w:ilvl w:val="0"/>
          <w:numId w:val="45"/>
        </w:numPr>
      </w:pPr>
      <w:r>
        <w:t xml:space="preserve">Chris said the Bylaws of the charter would need to be amended by a majority vote.  He said this needs to be an agenda item because </w:t>
      </w:r>
      <w:r w:rsidR="00B175DE">
        <w:t xml:space="preserve">the </w:t>
      </w:r>
      <w:r>
        <w:t xml:space="preserve">notice of amendments must be given to all Board members at least 30 days prior to </w:t>
      </w:r>
      <w:r w:rsidR="00F30741">
        <w:t>the vote on an amendment.</w:t>
      </w:r>
    </w:p>
    <w:p w:rsidR="008C2B1B" w:rsidRPr="00FE1589" w:rsidRDefault="008C2B1B" w:rsidP="006F0638"/>
    <w:p w:rsidR="008D2264" w:rsidRDefault="00AB3F11" w:rsidP="008D2264">
      <w:pPr>
        <w:pStyle w:val="ListParagraph"/>
      </w:pPr>
      <w:r>
        <w:t xml:space="preserve">Meeting </w:t>
      </w:r>
      <w:r w:rsidR="008D2264">
        <w:t>Adjourned.</w:t>
      </w:r>
    </w:p>
    <w:sectPr w:rsidR="008D226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5A" w:rsidRDefault="0026165A" w:rsidP="003453E0">
      <w:pPr>
        <w:spacing w:line="240" w:lineRule="auto"/>
      </w:pPr>
      <w:r>
        <w:separator/>
      </w:r>
    </w:p>
  </w:endnote>
  <w:endnote w:type="continuationSeparator" w:id="0">
    <w:p w:rsidR="0026165A" w:rsidRDefault="0026165A" w:rsidP="0034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735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9BB" w:rsidRDefault="00A319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4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3E0" w:rsidRDefault="00A319BB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3134B2">
      <w:rPr>
        <w:noProof/>
      </w:rPr>
      <w:t>August 31, 2015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5A" w:rsidRDefault="0026165A" w:rsidP="003453E0">
      <w:pPr>
        <w:spacing w:line="240" w:lineRule="auto"/>
      </w:pPr>
      <w:r>
        <w:separator/>
      </w:r>
    </w:p>
  </w:footnote>
  <w:footnote w:type="continuationSeparator" w:id="0">
    <w:p w:rsidR="0026165A" w:rsidRDefault="0026165A" w:rsidP="0034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678"/>
    <w:multiLevelType w:val="hybridMultilevel"/>
    <w:tmpl w:val="6BCE407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A858E0"/>
    <w:multiLevelType w:val="hybridMultilevel"/>
    <w:tmpl w:val="C812FF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C5353F"/>
    <w:multiLevelType w:val="hybridMultilevel"/>
    <w:tmpl w:val="737E1F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F6211B"/>
    <w:multiLevelType w:val="hybridMultilevel"/>
    <w:tmpl w:val="C4FC85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EC7CDE"/>
    <w:multiLevelType w:val="hybridMultilevel"/>
    <w:tmpl w:val="4442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9347D"/>
    <w:multiLevelType w:val="hybridMultilevel"/>
    <w:tmpl w:val="54C4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96BF9"/>
    <w:multiLevelType w:val="hybridMultilevel"/>
    <w:tmpl w:val="E622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D2788"/>
    <w:multiLevelType w:val="hybridMultilevel"/>
    <w:tmpl w:val="929A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472D9"/>
    <w:multiLevelType w:val="hybridMultilevel"/>
    <w:tmpl w:val="63F650C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9B24005"/>
    <w:multiLevelType w:val="hybridMultilevel"/>
    <w:tmpl w:val="77E276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9B54940"/>
    <w:multiLevelType w:val="hybridMultilevel"/>
    <w:tmpl w:val="27A0AB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319C627E"/>
    <w:multiLevelType w:val="hybridMultilevel"/>
    <w:tmpl w:val="7B5872F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2704147"/>
    <w:multiLevelType w:val="hybridMultilevel"/>
    <w:tmpl w:val="FA12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75DDD"/>
    <w:multiLevelType w:val="hybridMultilevel"/>
    <w:tmpl w:val="7116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C609E"/>
    <w:multiLevelType w:val="hybridMultilevel"/>
    <w:tmpl w:val="D3C85C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194189"/>
    <w:multiLevelType w:val="hybridMultilevel"/>
    <w:tmpl w:val="29CA71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A415BC"/>
    <w:multiLevelType w:val="hybridMultilevel"/>
    <w:tmpl w:val="010696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39E01146"/>
    <w:multiLevelType w:val="hybridMultilevel"/>
    <w:tmpl w:val="9976C276"/>
    <w:lvl w:ilvl="0" w:tplc="C0F04C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A12146C"/>
    <w:multiLevelType w:val="hybridMultilevel"/>
    <w:tmpl w:val="2C20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406C1"/>
    <w:multiLevelType w:val="hybridMultilevel"/>
    <w:tmpl w:val="AE7070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E980C9F"/>
    <w:multiLevelType w:val="hybridMultilevel"/>
    <w:tmpl w:val="C4FEF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8E318B"/>
    <w:multiLevelType w:val="hybridMultilevel"/>
    <w:tmpl w:val="CEFEA1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2377B1D"/>
    <w:multiLevelType w:val="hybridMultilevel"/>
    <w:tmpl w:val="989A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14465"/>
    <w:multiLevelType w:val="hybridMultilevel"/>
    <w:tmpl w:val="4692ABE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CF063B2"/>
    <w:multiLevelType w:val="hybridMultilevel"/>
    <w:tmpl w:val="C15A2356"/>
    <w:lvl w:ilvl="0" w:tplc="C0F04C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3356085"/>
    <w:multiLevelType w:val="hybridMultilevel"/>
    <w:tmpl w:val="1382D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34EA0"/>
    <w:multiLevelType w:val="hybridMultilevel"/>
    <w:tmpl w:val="10886F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54B43476"/>
    <w:multiLevelType w:val="hybridMultilevel"/>
    <w:tmpl w:val="9D46224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88786A"/>
    <w:multiLevelType w:val="hybridMultilevel"/>
    <w:tmpl w:val="51FCCB9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8A1ABB"/>
    <w:multiLevelType w:val="hybridMultilevel"/>
    <w:tmpl w:val="3CCE2D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9F42436"/>
    <w:multiLevelType w:val="hybridMultilevel"/>
    <w:tmpl w:val="BB3228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357CD4"/>
    <w:multiLevelType w:val="hybridMultilevel"/>
    <w:tmpl w:val="51C43996"/>
    <w:lvl w:ilvl="0" w:tplc="C0F04C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BB7F99"/>
    <w:multiLevelType w:val="hybridMultilevel"/>
    <w:tmpl w:val="BFB8AB8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8C010C"/>
    <w:multiLevelType w:val="hybridMultilevel"/>
    <w:tmpl w:val="BC42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35BA9"/>
    <w:multiLevelType w:val="hybridMultilevel"/>
    <w:tmpl w:val="3776006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>
    <w:nsid w:val="663F5BD5"/>
    <w:multiLevelType w:val="hybridMultilevel"/>
    <w:tmpl w:val="9A68FA5E"/>
    <w:lvl w:ilvl="0" w:tplc="C0F04C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9EE193D"/>
    <w:multiLevelType w:val="hybridMultilevel"/>
    <w:tmpl w:val="C88E88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D866B09"/>
    <w:multiLevelType w:val="hybridMultilevel"/>
    <w:tmpl w:val="F09294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A461DE"/>
    <w:multiLevelType w:val="hybridMultilevel"/>
    <w:tmpl w:val="DA52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816574"/>
    <w:multiLevelType w:val="hybridMultilevel"/>
    <w:tmpl w:val="C518B60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3990818"/>
    <w:multiLevelType w:val="hybridMultilevel"/>
    <w:tmpl w:val="25FE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42978"/>
    <w:multiLevelType w:val="hybridMultilevel"/>
    <w:tmpl w:val="24C2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86ED3"/>
    <w:multiLevelType w:val="hybridMultilevel"/>
    <w:tmpl w:val="6C06BB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>
    <w:nsid w:val="7CB75397"/>
    <w:multiLevelType w:val="hybridMultilevel"/>
    <w:tmpl w:val="3340A53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6"/>
  </w:num>
  <w:num w:numId="2">
    <w:abstractNumId w:val="2"/>
  </w:num>
  <w:num w:numId="3">
    <w:abstractNumId w:val="42"/>
  </w:num>
  <w:num w:numId="4">
    <w:abstractNumId w:val="16"/>
  </w:num>
  <w:num w:numId="5">
    <w:abstractNumId w:val="10"/>
  </w:num>
  <w:num w:numId="6">
    <w:abstractNumId w:val="20"/>
  </w:num>
  <w:num w:numId="7">
    <w:abstractNumId w:val="13"/>
  </w:num>
  <w:num w:numId="8">
    <w:abstractNumId w:val="28"/>
  </w:num>
  <w:num w:numId="9">
    <w:abstractNumId w:val="43"/>
  </w:num>
  <w:num w:numId="10">
    <w:abstractNumId w:val="29"/>
  </w:num>
  <w:num w:numId="11">
    <w:abstractNumId w:val="0"/>
  </w:num>
  <w:num w:numId="12">
    <w:abstractNumId w:val="38"/>
  </w:num>
  <w:num w:numId="13">
    <w:abstractNumId w:val="25"/>
  </w:num>
  <w:num w:numId="14">
    <w:abstractNumId w:val="37"/>
  </w:num>
  <w:num w:numId="15">
    <w:abstractNumId w:val="27"/>
  </w:num>
  <w:num w:numId="16">
    <w:abstractNumId w:val="32"/>
  </w:num>
  <w:num w:numId="17">
    <w:abstractNumId w:val="30"/>
  </w:num>
  <w:num w:numId="18">
    <w:abstractNumId w:val="15"/>
  </w:num>
  <w:num w:numId="19">
    <w:abstractNumId w:val="23"/>
  </w:num>
  <w:num w:numId="20">
    <w:abstractNumId w:val="3"/>
  </w:num>
  <w:num w:numId="21">
    <w:abstractNumId w:val="11"/>
  </w:num>
  <w:num w:numId="22">
    <w:abstractNumId w:val="3"/>
    <w:lvlOverride w:ilvl="0">
      <w:lvl w:ilvl="0" w:tplc="04090019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4"/>
  </w:num>
  <w:num w:numId="24">
    <w:abstractNumId w:val="31"/>
  </w:num>
  <w:num w:numId="25">
    <w:abstractNumId w:val="33"/>
  </w:num>
  <w:num w:numId="26">
    <w:abstractNumId w:val="17"/>
  </w:num>
  <w:num w:numId="27">
    <w:abstractNumId w:val="35"/>
  </w:num>
  <w:num w:numId="28">
    <w:abstractNumId w:val="6"/>
  </w:num>
  <w:num w:numId="29">
    <w:abstractNumId w:val="19"/>
  </w:num>
  <w:num w:numId="30">
    <w:abstractNumId w:val="39"/>
  </w:num>
  <w:num w:numId="31">
    <w:abstractNumId w:val="40"/>
  </w:num>
  <w:num w:numId="32">
    <w:abstractNumId w:val="9"/>
  </w:num>
  <w:num w:numId="33">
    <w:abstractNumId w:val="7"/>
  </w:num>
  <w:num w:numId="34">
    <w:abstractNumId w:val="8"/>
  </w:num>
  <w:num w:numId="35">
    <w:abstractNumId w:val="36"/>
  </w:num>
  <w:num w:numId="36">
    <w:abstractNumId w:val="21"/>
  </w:num>
  <w:num w:numId="37">
    <w:abstractNumId w:val="14"/>
  </w:num>
  <w:num w:numId="38">
    <w:abstractNumId w:val="1"/>
  </w:num>
  <w:num w:numId="39">
    <w:abstractNumId w:val="12"/>
  </w:num>
  <w:num w:numId="40">
    <w:abstractNumId w:val="5"/>
  </w:num>
  <w:num w:numId="41">
    <w:abstractNumId w:val="18"/>
  </w:num>
  <w:num w:numId="42">
    <w:abstractNumId w:val="34"/>
  </w:num>
  <w:num w:numId="43">
    <w:abstractNumId w:val="4"/>
  </w:num>
  <w:num w:numId="44">
    <w:abstractNumId w:val="2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DF"/>
    <w:rsid w:val="00000BB1"/>
    <w:rsid w:val="00001FA7"/>
    <w:rsid w:val="00013677"/>
    <w:rsid w:val="00014020"/>
    <w:rsid w:val="00017E63"/>
    <w:rsid w:val="0002228A"/>
    <w:rsid w:val="00040A4C"/>
    <w:rsid w:val="00043E6E"/>
    <w:rsid w:val="0005329B"/>
    <w:rsid w:val="000B04DA"/>
    <w:rsid w:val="000C5929"/>
    <w:rsid w:val="000D65DE"/>
    <w:rsid w:val="000F124B"/>
    <w:rsid w:val="000F7217"/>
    <w:rsid w:val="00120767"/>
    <w:rsid w:val="00135AF6"/>
    <w:rsid w:val="00136873"/>
    <w:rsid w:val="001418BF"/>
    <w:rsid w:val="001563DF"/>
    <w:rsid w:val="00175277"/>
    <w:rsid w:val="00182C79"/>
    <w:rsid w:val="00191D87"/>
    <w:rsid w:val="00195AF8"/>
    <w:rsid w:val="001D10D5"/>
    <w:rsid w:val="001D217E"/>
    <w:rsid w:val="001D472C"/>
    <w:rsid w:val="001D606E"/>
    <w:rsid w:val="001E3794"/>
    <w:rsid w:val="001F5577"/>
    <w:rsid w:val="002026BE"/>
    <w:rsid w:val="00216266"/>
    <w:rsid w:val="002163E1"/>
    <w:rsid w:val="00236B14"/>
    <w:rsid w:val="00250EF8"/>
    <w:rsid w:val="0026165A"/>
    <w:rsid w:val="00275D8B"/>
    <w:rsid w:val="002827F4"/>
    <w:rsid w:val="002838AB"/>
    <w:rsid w:val="00290BAA"/>
    <w:rsid w:val="002A61D6"/>
    <w:rsid w:val="002A7A83"/>
    <w:rsid w:val="002B4BE0"/>
    <w:rsid w:val="002B7475"/>
    <w:rsid w:val="002C26F5"/>
    <w:rsid w:val="002C372F"/>
    <w:rsid w:val="002E1D67"/>
    <w:rsid w:val="002E4841"/>
    <w:rsid w:val="002F7E43"/>
    <w:rsid w:val="00305BE7"/>
    <w:rsid w:val="0031047E"/>
    <w:rsid w:val="003134B2"/>
    <w:rsid w:val="003300C6"/>
    <w:rsid w:val="003320BA"/>
    <w:rsid w:val="003453E0"/>
    <w:rsid w:val="00346D1D"/>
    <w:rsid w:val="0035180A"/>
    <w:rsid w:val="00351BE0"/>
    <w:rsid w:val="00355130"/>
    <w:rsid w:val="00361BD7"/>
    <w:rsid w:val="00373F94"/>
    <w:rsid w:val="00375CD0"/>
    <w:rsid w:val="003844AA"/>
    <w:rsid w:val="003A167F"/>
    <w:rsid w:val="003A5EED"/>
    <w:rsid w:val="003C1890"/>
    <w:rsid w:val="003C7D6E"/>
    <w:rsid w:val="003E04E6"/>
    <w:rsid w:val="003F70CB"/>
    <w:rsid w:val="00410AAE"/>
    <w:rsid w:val="004123FA"/>
    <w:rsid w:val="00436F9B"/>
    <w:rsid w:val="00445C49"/>
    <w:rsid w:val="0044733F"/>
    <w:rsid w:val="00455F36"/>
    <w:rsid w:val="004664AD"/>
    <w:rsid w:val="004673DF"/>
    <w:rsid w:val="004735A1"/>
    <w:rsid w:val="0049259F"/>
    <w:rsid w:val="004A6D71"/>
    <w:rsid w:val="004E561D"/>
    <w:rsid w:val="004F66B8"/>
    <w:rsid w:val="0051547D"/>
    <w:rsid w:val="00532710"/>
    <w:rsid w:val="00550250"/>
    <w:rsid w:val="00555D6D"/>
    <w:rsid w:val="005757FE"/>
    <w:rsid w:val="005A49F8"/>
    <w:rsid w:val="005A62B6"/>
    <w:rsid w:val="005C1F43"/>
    <w:rsid w:val="005D1A93"/>
    <w:rsid w:val="005D5C70"/>
    <w:rsid w:val="005F7BF3"/>
    <w:rsid w:val="00631DCA"/>
    <w:rsid w:val="00642FF6"/>
    <w:rsid w:val="00646963"/>
    <w:rsid w:val="006627DC"/>
    <w:rsid w:val="00673B55"/>
    <w:rsid w:val="00674263"/>
    <w:rsid w:val="0067719E"/>
    <w:rsid w:val="00684CD0"/>
    <w:rsid w:val="00686106"/>
    <w:rsid w:val="00691982"/>
    <w:rsid w:val="00695B53"/>
    <w:rsid w:val="006A302B"/>
    <w:rsid w:val="006B05F8"/>
    <w:rsid w:val="006E5CF7"/>
    <w:rsid w:val="006F0638"/>
    <w:rsid w:val="006F48D5"/>
    <w:rsid w:val="006F7B2C"/>
    <w:rsid w:val="00703E78"/>
    <w:rsid w:val="00706BB9"/>
    <w:rsid w:val="00715A1E"/>
    <w:rsid w:val="00724CB0"/>
    <w:rsid w:val="00731A68"/>
    <w:rsid w:val="00750052"/>
    <w:rsid w:val="007577A6"/>
    <w:rsid w:val="00766603"/>
    <w:rsid w:val="007902E5"/>
    <w:rsid w:val="007A2223"/>
    <w:rsid w:val="007A528E"/>
    <w:rsid w:val="007C08EB"/>
    <w:rsid w:val="007C1403"/>
    <w:rsid w:val="007E0D8F"/>
    <w:rsid w:val="007F1925"/>
    <w:rsid w:val="00833ABE"/>
    <w:rsid w:val="00833D95"/>
    <w:rsid w:val="00834C0C"/>
    <w:rsid w:val="008447AD"/>
    <w:rsid w:val="00845F12"/>
    <w:rsid w:val="00854466"/>
    <w:rsid w:val="00861717"/>
    <w:rsid w:val="008617F2"/>
    <w:rsid w:val="00864AD7"/>
    <w:rsid w:val="00873CAA"/>
    <w:rsid w:val="00875251"/>
    <w:rsid w:val="0087636E"/>
    <w:rsid w:val="00882129"/>
    <w:rsid w:val="0088501A"/>
    <w:rsid w:val="00895A3C"/>
    <w:rsid w:val="008B3EC0"/>
    <w:rsid w:val="008C2B1B"/>
    <w:rsid w:val="008C4382"/>
    <w:rsid w:val="008C6B34"/>
    <w:rsid w:val="008D2264"/>
    <w:rsid w:val="008D6C7D"/>
    <w:rsid w:val="008E42F3"/>
    <w:rsid w:val="008F69C3"/>
    <w:rsid w:val="00910630"/>
    <w:rsid w:val="009346D3"/>
    <w:rsid w:val="00942BC4"/>
    <w:rsid w:val="009538D7"/>
    <w:rsid w:val="00976A55"/>
    <w:rsid w:val="00990A80"/>
    <w:rsid w:val="009A27EF"/>
    <w:rsid w:val="009A3A52"/>
    <w:rsid w:val="009C0C1C"/>
    <w:rsid w:val="009C78D0"/>
    <w:rsid w:val="009E02BD"/>
    <w:rsid w:val="009E2CA1"/>
    <w:rsid w:val="009E7B32"/>
    <w:rsid w:val="00A01295"/>
    <w:rsid w:val="00A070A2"/>
    <w:rsid w:val="00A10D20"/>
    <w:rsid w:val="00A137F7"/>
    <w:rsid w:val="00A21D67"/>
    <w:rsid w:val="00A319BB"/>
    <w:rsid w:val="00A342B1"/>
    <w:rsid w:val="00A93C77"/>
    <w:rsid w:val="00AB11B0"/>
    <w:rsid w:val="00AB1579"/>
    <w:rsid w:val="00AB36E7"/>
    <w:rsid w:val="00AB3F11"/>
    <w:rsid w:val="00AB529E"/>
    <w:rsid w:val="00AB56D6"/>
    <w:rsid w:val="00AB5CD6"/>
    <w:rsid w:val="00AE025A"/>
    <w:rsid w:val="00AE0A2A"/>
    <w:rsid w:val="00B041C1"/>
    <w:rsid w:val="00B162E3"/>
    <w:rsid w:val="00B175DE"/>
    <w:rsid w:val="00B17D9C"/>
    <w:rsid w:val="00B24053"/>
    <w:rsid w:val="00B373FD"/>
    <w:rsid w:val="00B41CFC"/>
    <w:rsid w:val="00B514AD"/>
    <w:rsid w:val="00B54859"/>
    <w:rsid w:val="00B65E8D"/>
    <w:rsid w:val="00B92B4F"/>
    <w:rsid w:val="00BB5868"/>
    <w:rsid w:val="00BC00AE"/>
    <w:rsid w:val="00BC3BDF"/>
    <w:rsid w:val="00BD7213"/>
    <w:rsid w:val="00BF0A3D"/>
    <w:rsid w:val="00C03019"/>
    <w:rsid w:val="00C0425E"/>
    <w:rsid w:val="00C045FF"/>
    <w:rsid w:val="00C070F7"/>
    <w:rsid w:val="00C106BC"/>
    <w:rsid w:val="00C223D7"/>
    <w:rsid w:val="00C32CD7"/>
    <w:rsid w:val="00C91403"/>
    <w:rsid w:val="00CB17FD"/>
    <w:rsid w:val="00CC5421"/>
    <w:rsid w:val="00CF7C95"/>
    <w:rsid w:val="00D07996"/>
    <w:rsid w:val="00D115E1"/>
    <w:rsid w:val="00D1593C"/>
    <w:rsid w:val="00D15FB5"/>
    <w:rsid w:val="00D16D45"/>
    <w:rsid w:val="00D26DDD"/>
    <w:rsid w:val="00D36DC3"/>
    <w:rsid w:val="00D773F7"/>
    <w:rsid w:val="00D94626"/>
    <w:rsid w:val="00D9681C"/>
    <w:rsid w:val="00D9754C"/>
    <w:rsid w:val="00DC5C17"/>
    <w:rsid w:val="00DC5D2A"/>
    <w:rsid w:val="00DD1549"/>
    <w:rsid w:val="00DD2DF0"/>
    <w:rsid w:val="00DF3EDE"/>
    <w:rsid w:val="00E03573"/>
    <w:rsid w:val="00E14269"/>
    <w:rsid w:val="00E30303"/>
    <w:rsid w:val="00E33A47"/>
    <w:rsid w:val="00E422BA"/>
    <w:rsid w:val="00E44C6B"/>
    <w:rsid w:val="00E45166"/>
    <w:rsid w:val="00E46150"/>
    <w:rsid w:val="00E7277B"/>
    <w:rsid w:val="00E742E2"/>
    <w:rsid w:val="00E869B3"/>
    <w:rsid w:val="00E873ED"/>
    <w:rsid w:val="00E970D0"/>
    <w:rsid w:val="00EB6619"/>
    <w:rsid w:val="00EC6CB3"/>
    <w:rsid w:val="00EF613F"/>
    <w:rsid w:val="00F0408C"/>
    <w:rsid w:val="00F23C26"/>
    <w:rsid w:val="00F26ABE"/>
    <w:rsid w:val="00F30741"/>
    <w:rsid w:val="00F30E61"/>
    <w:rsid w:val="00F40869"/>
    <w:rsid w:val="00F51799"/>
    <w:rsid w:val="00FA17EB"/>
    <w:rsid w:val="00FA51F2"/>
    <w:rsid w:val="00FC6AD3"/>
    <w:rsid w:val="00FD2A45"/>
    <w:rsid w:val="00FE1589"/>
    <w:rsid w:val="00FE2DE8"/>
    <w:rsid w:val="00FF256F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3B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3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E0"/>
  </w:style>
  <w:style w:type="paragraph" w:styleId="Footer">
    <w:name w:val="footer"/>
    <w:basedOn w:val="Normal"/>
    <w:link w:val="Foot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E0"/>
  </w:style>
  <w:style w:type="paragraph" w:styleId="ListParagraph">
    <w:name w:val="List Paragraph"/>
    <w:basedOn w:val="Normal"/>
    <w:uiPriority w:val="34"/>
    <w:qFormat/>
    <w:rsid w:val="00550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3B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3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E0"/>
  </w:style>
  <w:style w:type="paragraph" w:styleId="Footer">
    <w:name w:val="footer"/>
    <w:basedOn w:val="Normal"/>
    <w:link w:val="Foot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E0"/>
  </w:style>
  <w:style w:type="paragraph" w:styleId="ListParagraph">
    <w:name w:val="List Paragraph"/>
    <w:basedOn w:val="Normal"/>
    <w:uiPriority w:val="34"/>
    <w:qFormat/>
    <w:rsid w:val="00550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DEE3-0501-4D42-A963-2F97EB83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Hammrich, Jeremy</dc:creator>
  <cp:lastModifiedBy>Vergis, Maria</cp:lastModifiedBy>
  <cp:revision>58</cp:revision>
  <cp:lastPrinted>2015-08-27T17:08:00Z</cp:lastPrinted>
  <dcterms:created xsi:type="dcterms:W3CDTF">2015-08-13T23:12:00Z</dcterms:created>
  <dcterms:modified xsi:type="dcterms:W3CDTF">2015-08-31T17:38:00Z</dcterms:modified>
</cp:coreProperties>
</file>